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14" w:rsidRPr="00845694" w:rsidRDefault="008D7314" w:rsidP="008D7314">
      <w:pPr>
        <w:shd w:val="clear" w:color="auto" w:fill="FFFFFF"/>
        <w:spacing w:after="168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ПРИЛОЖЕНИЕ 4</w:t>
      </w:r>
      <w:bookmarkStart w:id="0" w:name="_GoBack"/>
      <w:bookmarkEnd w:id="0"/>
    </w:p>
    <w:p w:rsidR="008D7314" w:rsidRPr="00845694" w:rsidRDefault="008D7314" w:rsidP="008D7314">
      <w:pPr>
        <w:shd w:val="clear" w:color="auto" w:fill="FFFFFF"/>
        <w:spacing w:after="168" w:line="240" w:lineRule="auto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Административные и таможенные формальности</w:t>
      </w:r>
    </w:p>
    <w:p w:rsidR="006C365F" w:rsidRDefault="008D7314" w:rsidP="008D7314"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1)Импортные налоги и сборы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К ним относятся: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Импортные налоги (не следует их смешивать с импортными пошлинами):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пограничный налог, которым облагаются товары за факт пересечения границы;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сборы, связанные с оформлением документов на таможне, таможенным досмотром товара, проверкой его качества;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другие сборы (портовые, статистические, фитосанитарные и т. п.).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Особой разновидностью импортного налога являются скользящие импортные сборы, широко применяемые в ЕС в качестве протекционистской меры в аграрном секторе. По характеру своего действия скользящие импортные сборы близки к таможенным пошлинам, но в отличие от них постоянно меняют свой уровень в зависимости от соотношения внутренних и мировых цен на сельскохозяйственную продукцию.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Импортные депозиты представляют собой денежный залог, под оплату таможенных пошлин который импортер должен внести в местной или иностранной валюте в уполномоченный банк, перед закупкой иностранного товара. Сумма импортного депозита устанавливается в виде определенного соотношения к стоимости импортируемого товара.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2)Сертификация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Одной из разновидностей административных и таможенных формальностей является сертификация ввозимых товаров и услуг. Ввозимые на территорию Российской Федерации товары должны соответствовать техническим, фармакологическим, санитарным, ветеринарным и экологическим стандартам и требованиям, установленным в РФ . Запрещается ввоз товаров, которые не соответствуют указанным выше стандартам и требованиям, не имеют сертификата, маркировка или знака соответствия в предусмотренных законодательством случаях, запрещены к использованию как опасные потребительские товары, имеют дефекты, представляющие опасность для потребителей. Порядок сертификации ввозимых товаров регулируется законом РФ № 184-ФЗ «О техническом регулировании» и иными правовыми актами.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3)Предотгрузочная инспекция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В целях защиты прав и интересов потребителей, противодействия недобросовестной практике искажения сведений об импортируемых в Российскую Федерацию товарах, в том числе занижения их стоимости, Правительство РФ вправе вводить предотгрузочную инспекцию, включая выдачу сертификата о прохождении предотгрузочной инспекции, в отношении отдельных товаров, импортируемых в РФ.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4)Валютные ограничения и валютный контроль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Особое место в ряду нетарифных инструментов регулирования ВЭД занимают валютные ограничения и валютный контроль. Валютные ограничения представляют собой регламентацию операций резидентов и нерезидентов с валютой и другими валютными ценностями. Основные понятия, права и обязанности, положения, регулирующие валютное обращение и контроль, содержатся в законе РФ «О валютном регулировании и валютном контроле» и других нормативных актах.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5)Регулирование курса национальной валюты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Важной составной частью валютно-хозяйственного механизма управления внешнеэкономической деятельностью является установление курса национальной валюты по отношению к иностранным валютам.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 xml:space="preserve">В РФ органом государственной власти, ответственным за обеспечение устойчивости рубля, является Центральный Банк РФ. Он устанавливает официальный курс рубля по 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lastRenderedPageBreak/>
        <w:t>отношению к ведущим иностранным валютам, который используется для решения многих задач, связанных с ВЭД: таможенные платежи и сборы, обязательная продажа валютной выручки (до 2008 г.) и другие. Официальный курс устанавливается с учетом рыночного курса рубля, показателем которого могут служить котировки на Московской межбанковской валютной бирже (ММВБ). Центральный Банк, являясь активным участников торгов на ММВБ и используя свои резервы национальной и иностранных валют, также оказывает существенное влияние на формирование рыночного курса рубля. Таким образом, осуществляется влияние государства в лице ЦБ РФ на рыночный и официальный курс рубля, который в существенной мере будет определять поведение экспортеров, импортеров, инвесторов как в краткосрочной, так и долгосрочной перспективе.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6)Меры поддержки экспорта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К числу мер государственного регулирования внешнеэкономической деятельности следует отнести различные мероприятия, содействующие развитию внешнеторговой деятельности. Среди мер финансовой поддержки экспорта практически во всех развитых странах государством созданы и действуют специальные экспортно-кредитные агентства.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В соответствии с законом «Об основах государственного регулирования внешнеторговой деятельности» Правительство РФ и органы исполнительной власти субъектов РФ в рамках своей компетенции осуществляют в соответствии с международными договорами РФ мероприятия (включая их финансирование), содействующие развитию внешнеторговой деятельности: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кредитование участников внешнеторговой деятельности;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функционирование системы гарантий и страхования экспортных кредитов;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организацию торговых выставок и ярмарок, специализированных симпозиумов и конференций и участие в них;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проведение кампаний (в том числе рекламных) по продвижению российских товаров, услуг, интеллектуальной собственности на мировые рынки. Ранее была разработана федеральная программа развития экспорта, которая включала пять основных направлений: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финансовая поддержка,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налоговое стимулирование,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таможенно-тарифное стимулирование,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специальные мероприятия в поддержку экспорта</w:t>
      </w:r>
      <w:r w:rsidRPr="00845694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br/>
        <w:t>меры общеэкономического характера.</w:t>
      </w:r>
    </w:p>
    <w:sectPr w:rsidR="006C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14"/>
    <w:rsid w:val="006C365F"/>
    <w:rsid w:val="008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A76FB-BCB3-4092-9627-766E4639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2021-05-23T03:08:00Z</dcterms:created>
  <dcterms:modified xsi:type="dcterms:W3CDTF">2021-05-23T03:08:00Z</dcterms:modified>
</cp:coreProperties>
</file>