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14" w:rsidRPr="00845694" w:rsidRDefault="008D7314" w:rsidP="008D7314">
      <w:pPr>
        <w:shd w:val="clear" w:color="auto" w:fill="FFFFFF"/>
        <w:spacing w:after="168" w:line="240" w:lineRule="auto"/>
        <w:jc w:val="center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  <w:r w:rsidRPr="00845694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>ПРИЛОЖЕНИЕ 4</w:t>
      </w:r>
      <w:bookmarkStart w:id="0" w:name="_GoBack"/>
      <w:bookmarkEnd w:id="0"/>
    </w:p>
    <w:p w:rsidR="008D7314" w:rsidRPr="00845694" w:rsidRDefault="008D7314" w:rsidP="008D7314">
      <w:pPr>
        <w:shd w:val="clear" w:color="auto" w:fill="FFFFFF"/>
        <w:spacing w:after="168" w:line="240" w:lineRule="auto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  <w:r w:rsidRPr="00845694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>Административные и таможенные формальности</w:t>
      </w:r>
    </w:p>
    <w:p w:rsidR="006C365F" w:rsidRDefault="008D7314" w:rsidP="008D7314">
      <w:r w:rsidRPr="00845694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>1)Импортные налоги и сборы</w:t>
      </w:r>
      <w:r w:rsidRPr="00845694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br/>
        <w:t>К ним относятся:</w:t>
      </w:r>
      <w:r w:rsidRPr="00845694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br/>
        <w:t>Импортные налоги (не следует их смешивать с импортными пошлинами):</w:t>
      </w:r>
      <w:r w:rsidRPr="00845694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br/>
        <w:t>пограничный налог, которым облагаются товары за факт пересечения границы;</w:t>
      </w:r>
      <w:r w:rsidRPr="00845694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br/>
        <w:t>сборы, связанные с оформлением документов на таможне, таможенным досмотром товара, проверкой его качества;</w:t>
      </w:r>
      <w:r w:rsidRPr="00845694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br/>
        <w:t>другие сборы (портовые, статистические, фитосанитарные и т. п.).</w:t>
      </w:r>
      <w:r w:rsidRPr="00845694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br/>
        <w:t>Особой разновидностью импортного налога являются скользящие импортные сборы, широко применяемые в ЕС в качестве протекционистской меры в аграрном секторе. По характеру своего действия скользящие импортные сборы близки к таможенным пошлинам, но в отличие от них постоянно меняют свой уровень в зависимости от соотношения внутренних и мировых цен на сельскохозяйственную продукцию.</w:t>
      </w:r>
      <w:r w:rsidRPr="00845694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br/>
        <w:t>Импортные депозиты представляют собой денежный залог, под оплату таможенных пошлин который импортер должен внести в местной или иностранной валюте в уполномоченный банк, перед закупкой иностранного товара. Сумма импортного депозита устанавливается в виде определенного соотношения к стоимости импортируемого товара.</w:t>
      </w:r>
      <w:r w:rsidRPr="00845694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br/>
        <w:t>2)Сертификация</w:t>
      </w:r>
      <w:r w:rsidRPr="00845694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br/>
        <w:t>Одной из разновидностей административных и таможенных формальностей является сертификация ввозимых товаров и услуг. Ввозимые на территорию Российской Федерации товары должны соответствовать техническим, фармакологическим, санитарным, ветеринарным и экологическим стандартам и требованиям, установленным в РФ . Запрещается ввоз товаров, которые не соответствуют указанным выше стандартам и требованиям, не имеют сертификата, маркировка или знака соответствия в предусмотренных законодательством случаях, запрещены к использованию как опасные потребительские товары, имеют дефекты, представляющие опасность для потребителей. Порядок сертификации ввозимых товаров регулируется законом РФ № 184-ФЗ «О техническом регулировании» и иными правовыми актами.</w:t>
      </w:r>
      <w:r w:rsidRPr="00845694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br/>
        <w:t>3)Предотгрузочная инспекция</w:t>
      </w:r>
      <w:r w:rsidRPr="00845694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br/>
        <w:t>В целях защиты прав и интересов потребителей, противодействия недобросовестной практике искажения сведений об импортируемых в Российскую Федерацию товарах, в том числе занижения их стоимости, Правительство РФ вправе вводить предотгрузочную инспекцию, включая выдачу сертификата о прохождении предотгрузочной инспекции, в отношении отдельных товаров, импортируемых в РФ.</w:t>
      </w:r>
      <w:r w:rsidRPr="00845694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br/>
        <w:t>4)Валютные ограничения и валютный контроль</w:t>
      </w:r>
      <w:r w:rsidRPr="00845694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br/>
        <w:t>Особое место в ряду нетарифных инструментов регулирования ВЭД занимают валютные ограничения и валютный контроль. Валютные ограничения представляют собой регламентацию операций резидентов и нерезидентов с валютой и другими валютными ценностями. Основные понятия, права и обязанности, положения, регулирующие валютное обращение и контроль, содержатся в законе РФ «О валютном регулировании и валютном контроле» и других нормативных актах.</w:t>
      </w:r>
      <w:r w:rsidRPr="00845694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br/>
        <w:t>5)Регулирование курса национальной валюты</w:t>
      </w:r>
      <w:r w:rsidRPr="00845694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br/>
        <w:t>Важной составной частью валютно-хозяйственного механизма управления внешнеэкономической деятельностью является установление курса национальной валюты по отношению к иностранным валютам.</w:t>
      </w:r>
      <w:r w:rsidRPr="00845694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br/>
        <w:t xml:space="preserve">В РФ органом государственной власти, ответственным за обеспечение устойчивости рубля, является Центральный Банк РФ. Он устанавливает официальный курс рубля по </w:t>
      </w:r>
      <w:r w:rsidRPr="00845694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lastRenderedPageBreak/>
        <w:t>отношению к ведущим иностранным валютам, который используется для решения многих задач, связанных с ВЭД: таможенные платежи и сборы, обязательная продажа валютной выручки (до 2008 г.) и другие. Официальный курс устанавливается с учетом рыночного курса рубля, показателем которого могут служить котировки на Московской межбанковской валютной бирже (ММВБ). Центральный Банк, являясь активным участников торгов на ММВБ и используя свои резервы национальной и иностранных валют, также оказывает существенное влияние на формирование рыночного курса рубля. Таким образом, осуществляется влияние государства в лице ЦБ РФ на рыночный и официальный курс рубля, который в существенной мере будет определять поведение экспортеров, импортеров, инвесторов как в краткосрочной, так и долгосрочной перспективе.</w:t>
      </w:r>
      <w:r w:rsidRPr="00845694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br/>
        <w:t>6)Меры поддержки экспорта</w:t>
      </w:r>
      <w:r w:rsidRPr="00845694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br/>
        <w:t>К числу мер государственного регулирования внешнеэкономической деятельности следует отнести различные мероприятия, содействующие развитию внешнеторговой деятельности. Среди мер финансовой поддержки экспорта практически во всех развитых странах государством созданы и действуют специальные экспортно-кредитные агентства.</w:t>
      </w:r>
      <w:r w:rsidRPr="00845694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br/>
        <w:t>В соответствии с законом «Об основах государственного регулирования внешнеторговой деятельности» Правительство РФ и органы исполнительной власти субъектов РФ в рамках своей компетенции осуществляют в соответствии с международными договорами РФ мероприятия (включая их финансирование), содействующие развитию внешнеторговой деятельности:</w:t>
      </w:r>
      <w:r w:rsidRPr="00845694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br/>
        <w:t>кредитование участников внешнеторговой деятельности;</w:t>
      </w:r>
      <w:r w:rsidRPr="00845694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br/>
        <w:t>функционирование системы гарантий и страхования экспортных кредитов;</w:t>
      </w:r>
      <w:r w:rsidRPr="00845694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br/>
        <w:t>организацию торговых выставок и ярмарок, специализированных симпозиумов и конференций и участие в них;</w:t>
      </w:r>
      <w:r w:rsidRPr="00845694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br/>
        <w:t>проведение кампаний (в том числе рекламных) по продвижению российских товаров, услуг, интеллектуальной собственности на мировые рынки. Ранее была разработана федеральная программа развития экспорта, которая включала пять основных направлений:</w:t>
      </w:r>
      <w:r w:rsidRPr="00845694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br/>
        <w:t>финансовая поддержка,</w:t>
      </w:r>
      <w:r w:rsidRPr="00845694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br/>
        <w:t>налоговое стимулирование,</w:t>
      </w:r>
      <w:r w:rsidRPr="00845694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br/>
        <w:t>таможенно-тарифное стимулирование,</w:t>
      </w:r>
      <w:r w:rsidRPr="00845694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br/>
        <w:t>специальные мероприятия в поддержку экспорта</w:t>
      </w:r>
      <w:r w:rsidRPr="00845694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br/>
        <w:t>меры общеэкономического характера.</w:t>
      </w:r>
    </w:p>
    <w:sectPr w:rsidR="006C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14"/>
    <w:rsid w:val="006C365F"/>
    <w:rsid w:val="008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A76FB-BCB3-4092-9627-766E4639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2021-05-23T03:08:00Z</dcterms:created>
  <dcterms:modified xsi:type="dcterms:W3CDTF">2021-05-23T03:08:00Z</dcterms:modified>
</cp:coreProperties>
</file>