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322" w:rsidRPr="008018AB" w:rsidRDefault="00AA3322" w:rsidP="008018A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b/>
          <w:sz w:val="24"/>
          <w:szCs w:val="24"/>
          <w:lang w:eastAsia="ru-RU"/>
        </w:rPr>
        <w:t>Показатели ликвидности и формулы расчета</w:t>
      </w:r>
    </w:p>
    <w:p w:rsidR="00AA3322" w:rsidRPr="008018AB" w:rsidRDefault="00AA3322" w:rsidP="008018A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3322" w:rsidRPr="008018AB" w:rsidRDefault="00AA3322" w:rsidP="008018AB">
      <w:pPr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018AB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Коэффициент текущей ликвидности</w:t>
      </w:r>
    </w:p>
    <w:p w:rsidR="00AA3322" w:rsidRPr="008018AB" w:rsidRDefault="00AA3322" w:rsidP="008018A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sz w:val="24"/>
          <w:szCs w:val="24"/>
          <w:lang w:eastAsia="ru-RU"/>
        </w:rPr>
        <w:t>Указанный финансовый показатель характеризует, в какой степени все краткосрочные обязательства обеспечены оборотными активами. Его еще называют Коэффициент покрытия или Коэффициент общей ликвидности.</w:t>
      </w:r>
    </w:p>
    <w:p w:rsidR="00AA3322" w:rsidRPr="008018AB" w:rsidRDefault="00AA3322" w:rsidP="008018A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sz w:val="24"/>
          <w:szCs w:val="24"/>
          <w:lang w:eastAsia="ru-RU"/>
        </w:rPr>
        <w:t xml:space="preserve">Для расчета необходимо Оборотные активы разделить на сумму </w:t>
      </w:r>
      <w:proofErr w:type="gramStart"/>
      <w:r w:rsidRPr="008018AB">
        <w:rPr>
          <w:rFonts w:ascii="Times New Roman" w:hAnsi="Times New Roman" w:cs="Times New Roman"/>
          <w:sz w:val="24"/>
          <w:szCs w:val="24"/>
          <w:lang w:eastAsia="ru-RU"/>
        </w:rPr>
        <w:t>Наиболее</w:t>
      </w:r>
      <w:proofErr w:type="gramEnd"/>
      <w:r w:rsidRPr="008018AB">
        <w:rPr>
          <w:rFonts w:ascii="Times New Roman" w:hAnsi="Times New Roman" w:cs="Times New Roman"/>
          <w:sz w:val="24"/>
          <w:szCs w:val="24"/>
          <w:lang w:eastAsia="ru-RU"/>
        </w:rPr>
        <w:t xml:space="preserve"> срочных пассивов и Краткосрочных пассивов.</w:t>
      </w:r>
    </w:p>
    <w:p w:rsidR="00AA3322" w:rsidRPr="008018AB" w:rsidRDefault="00AA3322" w:rsidP="008018A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sz w:val="24"/>
          <w:szCs w:val="24"/>
          <w:lang w:eastAsia="ru-RU"/>
        </w:rPr>
        <w:t>Рекомендуемое значение. Нормальным считается значение коэффициента 2 и более (это значение наиболее часто используется в российских нормативных актах). В мировой практике считается нормальным от 1.5 до 2.5, в зависимости от отрасли. Значение ниже 1 говорит о высоком финансовом риске, связанном с тем, что предприятие не в состоянии стабильно оплачивать текущие счета. Если коэффициент текущей ликвидности больше нормы, то финансовое положение компании стабильно. Но если значение более 3, то это может свидетельствовать о нерациональной структуре капитала.</w:t>
      </w:r>
    </w:p>
    <w:p w:rsidR="00AA3322" w:rsidRPr="008018AB" w:rsidRDefault="00AA3322" w:rsidP="008018A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sz w:val="24"/>
          <w:szCs w:val="24"/>
          <w:lang w:eastAsia="ru-RU"/>
        </w:rPr>
        <w:t xml:space="preserve">По этой же формуле рассчитывается коэффициент текущей ликвидности по </w:t>
      </w:r>
      <w:proofErr w:type="spellStart"/>
      <w:r w:rsidRPr="008018AB">
        <w:rPr>
          <w:rFonts w:ascii="Times New Roman" w:hAnsi="Times New Roman" w:cs="Times New Roman"/>
          <w:sz w:val="24"/>
          <w:szCs w:val="24"/>
          <w:lang w:eastAsia="ru-RU"/>
        </w:rPr>
        <w:t>Биверу</w:t>
      </w:r>
      <w:proofErr w:type="spellEnd"/>
      <w:r w:rsidRPr="008018AB">
        <w:rPr>
          <w:rFonts w:ascii="Times New Roman" w:hAnsi="Times New Roman" w:cs="Times New Roman"/>
          <w:sz w:val="24"/>
          <w:szCs w:val="24"/>
          <w:lang w:eastAsia="ru-RU"/>
        </w:rPr>
        <w:t>, который помогает оценить вероятность банкротства предприятия. Если показатель менее 3,2, то вероятность банкротства компании низкая, если коэффициент меньше 2, то вероятность банкротства средняя, а если ниже 1, то есть высокая вероятность, что компания обанкротится в течение года.</w:t>
      </w:r>
    </w:p>
    <w:p w:rsidR="00AA3322" w:rsidRPr="008018AB" w:rsidRDefault="00AA3322" w:rsidP="008018A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Коэффициент абсолютной ликвидности</w:t>
      </w:r>
      <w:r w:rsidRPr="008018A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A3322" w:rsidRPr="008018AB" w:rsidRDefault="00AA3322" w:rsidP="008018A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sz w:val="24"/>
          <w:szCs w:val="24"/>
          <w:lang w:eastAsia="ru-RU"/>
        </w:rPr>
        <w:t>Указанный показатель характеризует, какая часть краткосрочных обязательств может быть погашена имеющимися денежными средствами и краткосрочными финансовыми вложениями.</w:t>
      </w:r>
    </w:p>
    <w:p w:rsidR="00AA3322" w:rsidRPr="008018AB" w:rsidRDefault="00AA3322" w:rsidP="008018A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sz w:val="24"/>
          <w:szCs w:val="24"/>
          <w:lang w:eastAsia="ru-RU"/>
        </w:rPr>
        <w:t xml:space="preserve">Для расчета необходимо </w:t>
      </w:r>
      <w:proofErr w:type="gramStart"/>
      <w:r w:rsidRPr="008018AB">
        <w:rPr>
          <w:rFonts w:ascii="Times New Roman" w:hAnsi="Times New Roman" w:cs="Times New Roman"/>
          <w:sz w:val="24"/>
          <w:szCs w:val="24"/>
          <w:lang w:eastAsia="ru-RU"/>
        </w:rPr>
        <w:t>Легко</w:t>
      </w:r>
      <w:proofErr w:type="gramEnd"/>
      <w:r w:rsidRPr="008018AB">
        <w:rPr>
          <w:rFonts w:ascii="Times New Roman" w:hAnsi="Times New Roman" w:cs="Times New Roman"/>
          <w:sz w:val="24"/>
          <w:szCs w:val="24"/>
          <w:lang w:eastAsia="ru-RU"/>
        </w:rPr>
        <w:t xml:space="preserve"> реализуемые активы поделить на сумму Наиболее срочных пассивов и Краткосрочных пассивов</w:t>
      </w:r>
      <w:r w:rsidR="00633138" w:rsidRPr="008018A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33138" w:rsidRPr="008018AB" w:rsidRDefault="00633138" w:rsidP="008018A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sz w:val="24"/>
          <w:szCs w:val="24"/>
          <w:lang w:eastAsia="ru-RU"/>
        </w:rPr>
        <w:t>Рекомендуемое значение от 0,2 до 0,5</w:t>
      </w:r>
    </w:p>
    <w:p w:rsidR="00633138" w:rsidRPr="008018AB" w:rsidRDefault="00633138" w:rsidP="008018A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sz w:val="24"/>
          <w:szCs w:val="24"/>
          <w:lang w:eastAsia="ru-RU"/>
        </w:rPr>
        <w:t>Если коэффициент абсолютной ликвидности больше нормы, то компания способна рассчитаться в кротчайшие сроки с задолженностью. Чем выше показатель, тем лучше платежеспособность предприятия. С другой стороны, высокий показатель может свидетельствовать о нерациональной структуре капитала, о слишком высокой доле неработающих активов в виде наличных денег и средств на счетах.</w:t>
      </w:r>
    </w:p>
    <w:p w:rsidR="00633138" w:rsidRPr="008018AB" w:rsidRDefault="00633138" w:rsidP="008018A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3138" w:rsidRPr="008018AB" w:rsidRDefault="00633138" w:rsidP="008018A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sz w:val="24"/>
          <w:szCs w:val="24"/>
          <w:lang w:eastAsia="ru-RU"/>
        </w:rPr>
        <w:t>Легко реализуемые активы</w:t>
      </w:r>
      <w:r w:rsidRPr="008018A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A3322" w:rsidRPr="008018AB" w:rsidRDefault="00AA3322" w:rsidP="008018A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sz w:val="24"/>
          <w:szCs w:val="24"/>
        </w:rPr>
        <w:t>Денежные средства и денежные эквиваленты (стр.1250 форма 1 бух баланса)</w:t>
      </w:r>
    </w:p>
    <w:p w:rsidR="00AA3322" w:rsidRPr="008018AB" w:rsidRDefault="00AA3322" w:rsidP="008018AB">
      <w:pPr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8018AB">
        <w:rPr>
          <w:rFonts w:ascii="Times New Roman" w:hAnsi="Times New Roman" w:cs="Times New Roman"/>
          <w:sz w:val="24"/>
          <w:szCs w:val="24"/>
        </w:rPr>
        <w:t>Финансовые вложения (стр.1240 из формы 1 баланса компании)</w:t>
      </w:r>
    </w:p>
    <w:p w:rsidR="00633138" w:rsidRPr="008018AB" w:rsidRDefault="00633138" w:rsidP="008018AB">
      <w:pPr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8018AB">
        <w:rPr>
          <w:rFonts w:ascii="Times New Roman" w:hAnsi="Times New Roman" w:cs="Times New Roman"/>
          <w:sz w:val="24"/>
          <w:szCs w:val="24"/>
          <w:lang w:eastAsia="ru-RU"/>
        </w:rPr>
        <w:t>Наиболее срочные</w:t>
      </w:r>
      <w:r w:rsidRPr="008018AB">
        <w:rPr>
          <w:rFonts w:ascii="Times New Roman" w:hAnsi="Times New Roman" w:cs="Times New Roman"/>
          <w:sz w:val="24"/>
          <w:szCs w:val="24"/>
          <w:lang w:eastAsia="ru-RU"/>
        </w:rPr>
        <w:t xml:space="preserve"> пассив</w:t>
      </w:r>
      <w:r w:rsidRPr="008018AB">
        <w:rPr>
          <w:rFonts w:ascii="Times New Roman" w:hAnsi="Times New Roman" w:cs="Times New Roman"/>
          <w:sz w:val="24"/>
          <w:szCs w:val="24"/>
          <w:lang w:eastAsia="ru-RU"/>
        </w:rPr>
        <w:t>ы и Краткосрочные</w:t>
      </w:r>
      <w:r w:rsidRPr="008018AB">
        <w:rPr>
          <w:rFonts w:ascii="Times New Roman" w:hAnsi="Times New Roman" w:cs="Times New Roman"/>
          <w:sz w:val="24"/>
          <w:szCs w:val="24"/>
          <w:lang w:eastAsia="ru-RU"/>
        </w:rPr>
        <w:t xml:space="preserve"> пассив</w:t>
      </w:r>
      <w:r w:rsidRPr="008018AB">
        <w:rPr>
          <w:rFonts w:ascii="Times New Roman" w:hAnsi="Times New Roman" w:cs="Times New Roman"/>
          <w:sz w:val="24"/>
          <w:szCs w:val="24"/>
          <w:lang w:eastAsia="ru-RU"/>
        </w:rPr>
        <w:t>ы:</w:t>
      </w:r>
    </w:p>
    <w:p w:rsidR="00AA3322" w:rsidRPr="008018AB" w:rsidRDefault="00AA3322" w:rsidP="008018AB">
      <w:pPr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8018AB">
        <w:rPr>
          <w:rFonts w:ascii="Times New Roman" w:hAnsi="Times New Roman" w:cs="Times New Roman"/>
          <w:sz w:val="24"/>
          <w:szCs w:val="24"/>
        </w:rPr>
        <w:t>Кредиторская задолженность (строка 1520 ф 1 бухг</w:t>
      </w:r>
      <w:r w:rsidR="00633138" w:rsidRPr="008018AB">
        <w:rPr>
          <w:rFonts w:ascii="Times New Roman" w:hAnsi="Times New Roman" w:cs="Times New Roman"/>
          <w:sz w:val="24"/>
          <w:szCs w:val="24"/>
        </w:rPr>
        <w:t>.</w:t>
      </w:r>
      <w:r w:rsidRPr="008018AB">
        <w:rPr>
          <w:rFonts w:ascii="Times New Roman" w:hAnsi="Times New Roman" w:cs="Times New Roman"/>
          <w:sz w:val="24"/>
          <w:szCs w:val="24"/>
        </w:rPr>
        <w:t xml:space="preserve"> баланса)</w:t>
      </w:r>
    </w:p>
    <w:p w:rsidR="00AA3322" w:rsidRPr="008018AB" w:rsidRDefault="00AA3322" w:rsidP="008018AB">
      <w:pPr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8018AB">
        <w:rPr>
          <w:rFonts w:ascii="Times New Roman" w:hAnsi="Times New Roman" w:cs="Times New Roman"/>
          <w:sz w:val="24"/>
          <w:szCs w:val="24"/>
        </w:rPr>
        <w:lastRenderedPageBreak/>
        <w:t>Заемные средства (стр.1510 ф.1 бухгалтерского</w:t>
      </w:r>
      <w:r w:rsidRPr="008018A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8018AB">
        <w:rPr>
          <w:rFonts w:ascii="Times New Roman" w:hAnsi="Times New Roman" w:cs="Times New Roman"/>
          <w:sz w:val="24"/>
          <w:szCs w:val="24"/>
        </w:rPr>
        <w:t>баланса)</w:t>
      </w:r>
    </w:p>
    <w:p w:rsidR="00AA3322" w:rsidRPr="008018AB" w:rsidRDefault="00AA3322" w:rsidP="008018A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sz w:val="24"/>
          <w:szCs w:val="24"/>
        </w:rPr>
        <w:t>Прочие обязательства (стр.1550 ф.1)</w:t>
      </w:r>
    </w:p>
    <w:p w:rsidR="00AA3322" w:rsidRPr="008018AB" w:rsidRDefault="00AA3322" w:rsidP="008018A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3322" w:rsidRPr="008018AB" w:rsidRDefault="00AA3322" w:rsidP="008018AB">
      <w:pPr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018AB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Коэффициент восстановления платежеспособности</w:t>
      </w:r>
    </w:p>
    <w:p w:rsidR="00AA3322" w:rsidRPr="008018AB" w:rsidRDefault="00AA3322" w:rsidP="008018A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sz w:val="24"/>
          <w:szCs w:val="24"/>
          <w:lang w:eastAsia="ru-RU"/>
        </w:rPr>
        <w:t>Указанный финансовый коэффициент показывает возможность восстановления нормальной текущей ликвидности предприятия в течение 6 месяцев после отчетной даты. Для расчета берутся коэффициент текущей ликвидности на отчетный период (на конец года) и коэффициент текущей ликвидности за предыдущий отчетный период (на начало года).</w:t>
      </w:r>
    </w:p>
    <w:p w:rsidR="00AA3322" w:rsidRPr="008018AB" w:rsidRDefault="00AA3322" w:rsidP="008018A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sz w:val="24"/>
          <w:szCs w:val="24"/>
          <w:lang w:eastAsia="ru-RU"/>
        </w:rPr>
        <w:t>Рекомендуемый показатель: выше 1</w:t>
      </w:r>
    </w:p>
    <w:p w:rsidR="00AA3322" w:rsidRPr="008018AB" w:rsidRDefault="00AA3322" w:rsidP="008018A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sz w:val="24"/>
          <w:szCs w:val="24"/>
          <w:lang w:eastAsia="ru-RU"/>
        </w:rPr>
        <w:t>Если коэффициент больше нормы, то в течение полугода компания сможет восстановить свою платежеспособность.</w:t>
      </w:r>
    </w:p>
    <w:p w:rsidR="008018AB" w:rsidRDefault="008018AB" w:rsidP="008018AB">
      <w:pPr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AA3322" w:rsidRPr="008018AB" w:rsidRDefault="00AA3322" w:rsidP="008018A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Коэффициент обеспеченности собственными оборотными средствами — это показатель оценки удовлетворительности структуры баланса и финансовой устойчивости предприятия в целом.</w:t>
      </w:r>
    </w:p>
    <w:p w:rsidR="00AA3322" w:rsidRPr="008018AB" w:rsidRDefault="00AA3322" w:rsidP="008018A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sz w:val="24"/>
          <w:szCs w:val="24"/>
          <w:lang w:eastAsia="ru-RU"/>
        </w:rPr>
        <w:t xml:space="preserve">Коэффициент обеспеченности собственными оборотными средствами определяется как отношение разности собственного капитала и </w:t>
      </w:r>
      <w:proofErr w:type="spellStart"/>
      <w:r w:rsidRPr="008018AB">
        <w:rPr>
          <w:rFonts w:ascii="Times New Roman" w:hAnsi="Times New Roman" w:cs="Times New Roman"/>
          <w:sz w:val="24"/>
          <w:szCs w:val="24"/>
          <w:lang w:eastAsia="ru-RU"/>
        </w:rPr>
        <w:t>внеоборотных</w:t>
      </w:r>
      <w:proofErr w:type="spellEnd"/>
      <w:r w:rsidRPr="008018AB">
        <w:rPr>
          <w:rFonts w:ascii="Times New Roman" w:hAnsi="Times New Roman" w:cs="Times New Roman"/>
          <w:sz w:val="24"/>
          <w:szCs w:val="24"/>
          <w:lang w:eastAsia="ru-RU"/>
        </w:rPr>
        <w:t xml:space="preserve"> активов предприятия к его оборотным активам:</w:t>
      </w:r>
    </w:p>
    <w:p w:rsidR="00AA3322" w:rsidRPr="008018AB" w:rsidRDefault="00AA3322" w:rsidP="008018A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018AB">
        <w:rPr>
          <w:rFonts w:ascii="Times New Roman" w:hAnsi="Times New Roman" w:cs="Times New Roman"/>
          <w:sz w:val="24"/>
          <w:szCs w:val="24"/>
          <w:lang w:eastAsia="ru-RU"/>
        </w:rPr>
        <w:t>Косос</w:t>
      </w:r>
      <w:proofErr w:type="spellEnd"/>
      <w:r w:rsidRPr="008018AB">
        <w:rPr>
          <w:rFonts w:ascii="Times New Roman" w:hAnsi="Times New Roman" w:cs="Times New Roman"/>
          <w:sz w:val="24"/>
          <w:szCs w:val="24"/>
          <w:lang w:eastAsia="ru-RU"/>
        </w:rPr>
        <w:t xml:space="preserve"> = (СК – ВА) / ОА</w:t>
      </w:r>
    </w:p>
    <w:p w:rsidR="00B0589B" w:rsidRPr="008018AB" w:rsidRDefault="00B0589B" w:rsidP="008018A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589B" w:rsidRPr="008018AB" w:rsidRDefault="00B0589B" w:rsidP="008018A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589B" w:rsidRPr="008018AB" w:rsidRDefault="00B0589B" w:rsidP="008018A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589B" w:rsidRDefault="00B0589B" w:rsidP="00AA3322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B0589B" w:rsidRDefault="00B0589B" w:rsidP="00AA3322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B0589B" w:rsidRDefault="00B0589B" w:rsidP="00AA3322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8018AB" w:rsidRDefault="008018AB" w:rsidP="00AA3322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8018AB" w:rsidRDefault="008018AB" w:rsidP="00AA3322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8018AB" w:rsidRDefault="008018AB" w:rsidP="00AA3322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8018AB" w:rsidRDefault="008018AB" w:rsidP="00AA3322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8018AB" w:rsidRDefault="008018AB" w:rsidP="00AA3322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8018AB" w:rsidRDefault="008018AB" w:rsidP="00AA3322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B0589B" w:rsidRPr="008018AB" w:rsidRDefault="00B0589B" w:rsidP="00AA3322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589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Типы финансовой устойчивости предприятия</w:t>
      </w:r>
    </w:p>
    <w:p w:rsidR="00B0589B" w:rsidRPr="008018AB" w:rsidRDefault="00B0589B" w:rsidP="00B0589B">
      <w:pPr>
        <w:spacing w:before="360" w:after="36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</w:p>
    <w:p w:rsidR="00B0589B" w:rsidRPr="00B0589B" w:rsidRDefault="00B0589B" w:rsidP="00B0589B">
      <w:pPr>
        <w:spacing w:before="360" w:after="36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Для детального отражения разных видов источников (внутренних и внешних) в формировании запасов используют следующую систему показателей.</w:t>
      </w:r>
    </w:p>
    <w:p w:rsidR="00B0589B" w:rsidRPr="00B0589B" w:rsidRDefault="00B0589B" w:rsidP="00B0589B">
      <w:pPr>
        <w:spacing w:before="360" w:after="36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1. Наличие собственных оборотных средств на конец расчетного периода устанавливают по формуле:</w:t>
      </w:r>
    </w:p>
    <w:p w:rsidR="00B0589B" w:rsidRPr="00B0589B" w:rsidRDefault="00B0589B" w:rsidP="00B0589B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СОС = СК — ВОА,</w:t>
      </w:r>
    </w:p>
    <w:p w:rsidR="00B0589B" w:rsidRPr="00B0589B" w:rsidRDefault="00B0589B" w:rsidP="00B0589B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где СОС — собственные оборотные средства на конец расчетного </w:t>
      </w:r>
      <w:proofErr w:type="spellStart"/>
      <w:proofErr w:type="gramStart"/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периода;СК</w:t>
      </w:r>
      <w:proofErr w:type="spellEnd"/>
      <w:proofErr w:type="gramEnd"/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— собственный капитал (итог раздела III баланса); ВОА — </w:t>
      </w:r>
      <w:proofErr w:type="spellStart"/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внеоборотные</w:t>
      </w:r>
      <w:proofErr w:type="spellEnd"/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активы (итог раздела I баланса).</w:t>
      </w:r>
    </w:p>
    <w:p w:rsidR="00B0589B" w:rsidRPr="00B0589B" w:rsidRDefault="00B0589B" w:rsidP="00B0589B">
      <w:pPr>
        <w:spacing w:before="360" w:after="36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2. Наличие собственных и долгосрочных источников финансирования запасов (СДИ) определяют по формуле:</w:t>
      </w:r>
    </w:p>
    <w:p w:rsidR="00B0589B" w:rsidRPr="00B0589B" w:rsidRDefault="00B0589B" w:rsidP="00B0589B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СДИ = СК — ВОА + ДКЗ</w:t>
      </w:r>
    </w:p>
    <w:p w:rsidR="00B0589B" w:rsidRPr="00B0589B" w:rsidRDefault="00B0589B" w:rsidP="00B0589B">
      <w:pPr>
        <w:spacing w:before="360" w:after="36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или</w:t>
      </w:r>
    </w:p>
    <w:p w:rsidR="00B0589B" w:rsidRPr="00B0589B" w:rsidRDefault="00B0589B" w:rsidP="00B0589B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СДИ = СОС + ДКЗ,</w:t>
      </w:r>
    </w:p>
    <w:p w:rsidR="00B0589B" w:rsidRPr="00B0589B" w:rsidRDefault="00B0589B" w:rsidP="00B0589B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где ДКЗ — долгосрочные кредиты и займы (итог раздела IV баланса «Долгосрочные обязательства»).</w:t>
      </w:r>
    </w:p>
    <w:p w:rsidR="00B0589B" w:rsidRPr="00B0589B" w:rsidRDefault="00B0589B" w:rsidP="00B0589B">
      <w:pPr>
        <w:spacing w:before="360" w:after="36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3. Общая величина основных источников формирования запасов (ОИЗ) определяется как:</w:t>
      </w:r>
    </w:p>
    <w:p w:rsidR="00B0589B" w:rsidRPr="00B0589B" w:rsidRDefault="00B0589B" w:rsidP="00B0589B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ОИЗ = СДИ + ККЗ,</w:t>
      </w:r>
    </w:p>
    <w:p w:rsidR="00B0589B" w:rsidRPr="00B0589B" w:rsidRDefault="00B0589B" w:rsidP="00B0589B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где ККЗ — краткосрочные кредиты и займы (итог раздела V «Краткосрочные обязательства»).</w:t>
      </w:r>
    </w:p>
    <w:p w:rsidR="00B0589B" w:rsidRPr="00B0589B" w:rsidRDefault="00B0589B" w:rsidP="00B0589B">
      <w:pPr>
        <w:spacing w:before="360" w:after="36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В результате можно определить три показателя обеспеченности запасов источниками их финансирования.</w:t>
      </w:r>
    </w:p>
    <w:p w:rsidR="00B0589B" w:rsidRPr="00B0589B" w:rsidRDefault="00B0589B" w:rsidP="00B0589B">
      <w:pPr>
        <w:spacing w:before="360" w:after="36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1. Излишек (+), недостаток (-) собственных оборотных средств:</w:t>
      </w:r>
    </w:p>
    <w:p w:rsidR="00B0589B" w:rsidRPr="00B0589B" w:rsidRDefault="00B0589B" w:rsidP="00B0589B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∆СОС = СОС — З,</w:t>
      </w:r>
    </w:p>
    <w:p w:rsidR="00B0589B" w:rsidRPr="00B0589B" w:rsidRDefault="00B0589B" w:rsidP="00B0589B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где ∆СОС — прирост (излишек) собственных оборотных средств; З — запасы (раздел II баланса).</w:t>
      </w:r>
    </w:p>
    <w:p w:rsidR="00B0589B" w:rsidRPr="00B0589B" w:rsidRDefault="00B0589B" w:rsidP="00B0589B">
      <w:pPr>
        <w:spacing w:before="360" w:after="36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2. Излишек (+), недостаток (-) собственных и долгосрочных источников финансирования запасов </w:t>
      </w:r>
      <w:proofErr w:type="gramStart"/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( ∆</w:t>
      </w:r>
      <w:proofErr w:type="gramEnd"/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СДИ):</w:t>
      </w:r>
    </w:p>
    <w:p w:rsidR="00B0589B" w:rsidRPr="00B0589B" w:rsidRDefault="00B0589B" w:rsidP="00B0589B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lastRenderedPageBreak/>
        <w:t>∆СДИ = СДИ — З.</w:t>
      </w:r>
    </w:p>
    <w:p w:rsidR="00B0589B" w:rsidRPr="00B0589B" w:rsidRDefault="00B0589B" w:rsidP="00B0589B">
      <w:pPr>
        <w:spacing w:before="360" w:after="36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3. Излишек (+), недостаток (-) общей величины основных источников покрытия запасов </w:t>
      </w:r>
      <w:proofErr w:type="gramStart"/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( ∆</w:t>
      </w:r>
      <w:proofErr w:type="gramEnd"/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ОИЗ):</w:t>
      </w:r>
    </w:p>
    <w:p w:rsidR="00B0589B" w:rsidRPr="00B0589B" w:rsidRDefault="00B0589B" w:rsidP="00B0589B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∆ОИЗ = ОИЗ — З.</w:t>
      </w:r>
    </w:p>
    <w:p w:rsidR="00B0589B" w:rsidRPr="00B0589B" w:rsidRDefault="00B0589B" w:rsidP="00B0589B">
      <w:pPr>
        <w:spacing w:before="360" w:after="36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Приведенные показатели обеспеченности запасов соответствующими источниками финансирования трансформируют в трехфакторную модель (М):</w:t>
      </w:r>
    </w:p>
    <w:p w:rsidR="00B0589B" w:rsidRPr="00B0589B" w:rsidRDefault="00B0589B" w:rsidP="00B0589B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М = </w:t>
      </w:r>
      <w:proofErr w:type="gramStart"/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( ∆</w:t>
      </w:r>
      <w:proofErr w:type="gramEnd"/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СОС; ∆СДИ; ∆ОИЗ).</w:t>
      </w:r>
    </w:p>
    <w:p w:rsidR="00B0589B" w:rsidRPr="00B0589B" w:rsidRDefault="00B0589B" w:rsidP="00B0589B">
      <w:pPr>
        <w:spacing w:before="360" w:after="36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Эта модель выражает тип финансовой устойчивости предприятия. На практике встречаются четыре типа финансовой устойчивости (табл. 1).</w:t>
      </w:r>
    </w:p>
    <w:p w:rsidR="00B0589B" w:rsidRPr="00B0589B" w:rsidRDefault="00B0589B" w:rsidP="00B0589B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i/>
          <w:iCs/>
          <w:color w:val="000000"/>
          <w:sz w:val="23"/>
          <w:szCs w:val="23"/>
          <w:lang w:eastAsia="ru-RU"/>
        </w:rPr>
        <w:t>Таблица 1. Типы финансовой устойчивости предприятия</w:t>
      </w:r>
    </w:p>
    <w:tbl>
      <w:tblPr>
        <w:tblW w:w="9773" w:type="dxa"/>
        <w:jc w:val="center"/>
        <w:tblBorders>
          <w:top w:val="outset" w:sz="6" w:space="0" w:color="auto"/>
          <w:left w:val="outset" w:sz="6" w:space="0" w:color="auto"/>
          <w:bottom w:val="single" w:sz="18" w:space="0" w:color="D0D0D0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2027"/>
        <w:gridCol w:w="2520"/>
        <w:gridCol w:w="3001"/>
      </w:tblGrid>
      <w:tr w:rsidR="00B0589B" w:rsidRPr="00B0589B" w:rsidTr="008018AB">
        <w:trPr>
          <w:jc w:val="center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70" w:type="dxa"/>
              <w:left w:w="405" w:type="dxa"/>
              <w:bottom w:w="270" w:type="dxa"/>
              <w:right w:w="405" w:type="dxa"/>
            </w:tcMar>
            <w:hideMark/>
          </w:tcPr>
          <w:p w:rsidR="00B0589B" w:rsidRPr="00B0589B" w:rsidRDefault="00B0589B" w:rsidP="00B0589B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финансовой устойчивости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70" w:type="dxa"/>
              <w:left w:w="405" w:type="dxa"/>
              <w:bottom w:w="270" w:type="dxa"/>
              <w:right w:w="405" w:type="dxa"/>
            </w:tcMar>
            <w:hideMark/>
          </w:tcPr>
          <w:p w:rsidR="00B0589B" w:rsidRPr="00B0589B" w:rsidRDefault="00B0589B" w:rsidP="00B0589B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Трехмерная модель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70" w:type="dxa"/>
              <w:left w:w="405" w:type="dxa"/>
              <w:bottom w:w="270" w:type="dxa"/>
              <w:right w:w="405" w:type="dxa"/>
            </w:tcMar>
            <w:hideMark/>
          </w:tcPr>
          <w:p w:rsidR="00B0589B" w:rsidRPr="00B0589B" w:rsidRDefault="00B0589B" w:rsidP="00B0589B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70" w:type="dxa"/>
              <w:left w:w="405" w:type="dxa"/>
              <w:bottom w:w="270" w:type="dxa"/>
              <w:right w:w="405" w:type="dxa"/>
            </w:tcMar>
            <w:hideMark/>
          </w:tcPr>
          <w:p w:rsidR="00B0589B" w:rsidRPr="00B0589B" w:rsidRDefault="00B0589B" w:rsidP="00B0589B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Краткая характеристика финансовой устойчивости</w:t>
            </w:r>
          </w:p>
        </w:tc>
      </w:tr>
      <w:tr w:rsidR="00B0589B" w:rsidRPr="00B0589B" w:rsidTr="008018AB">
        <w:trPr>
          <w:jc w:val="center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0" w:type="dxa"/>
              <w:left w:w="405" w:type="dxa"/>
              <w:bottom w:w="270" w:type="dxa"/>
              <w:right w:w="405" w:type="dxa"/>
            </w:tcMar>
            <w:hideMark/>
          </w:tcPr>
          <w:p w:rsidR="00B0589B" w:rsidRPr="00B0589B" w:rsidRDefault="00B0589B" w:rsidP="00B0589B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Абсолютная финансовая устойчивость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0" w:type="dxa"/>
              <w:left w:w="405" w:type="dxa"/>
              <w:bottom w:w="270" w:type="dxa"/>
              <w:right w:w="405" w:type="dxa"/>
            </w:tcMar>
            <w:hideMark/>
          </w:tcPr>
          <w:p w:rsidR="00B0589B" w:rsidRPr="00B0589B" w:rsidRDefault="00B0589B" w:rsidP="00B0589B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= (1, 1,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0" w:type="dxa"/>
              <w:left w:w="405" w:type="dxa"/>
              <w:bottom w:w="270" w:type="dxa"/>
              <w:right w:w="405" w:type="dxa"/>
            </w:tcMar>
            <w:hideMark/>
          </w:tcPr>
          <w:p w:rsidR="00B0589B" w:rsidRPr="00B0589B" w:rsidRDefault="00B0589B" w:rsidP="00B0589B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оборотные средства (чистый оборотный капитал)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0" w:type="dxa"/>
              <w:left w:w="405" w:type="dxa"/>
              <w:bottom w:w="270" w:type="dxa"/>
              <w:right w:w="405" w:type="dxa"/>
            </w:tcMar>
            <w:hideMark/>
          </w:tcPr>
          <w:p w:rsidR="00B0589B" w:rsidRPr="00B0589B" w:rsidRDefault="00B0589B" w:rsidP="00B0589B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платежеспособности. Предприятие не зависит от внешних кредиторов (заимодавцев)</w:t>
            </w:r>
          </w:p>
        </w:tc>
      </w:tr>
      <w:tr w:rsidR="00B0589B" w:rsidRPr="00B0589B" w:rsidTr="008018AB">
        <w:trPr>
          <w:jc w:val="center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70" w:type="dxa"/>
              <w:left w:w="405" w:type="dxa"/>
              <w:bottom w:w="270" w:type="dxa"/>
              <w:right w:w="405" w:type="dxa"/>
            </w:tcMar>
            <w:hideMark/>
          </w:tcPr>
          <w:p w:rsidR="00B0589B" w:rsidRPr="00B0589B" w:rsidRDefault="00B0589B" w:rsidP="00B0589B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Нормальная финансовая устойчивость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70" w:type="dxa"/>
              <w:left w:w="405" w:type="dxa"/>
              <w:bottom w:w="270" w:type="dxa"/>
              <w:right w:w="405" w:type="dxa"/>
            </w:tcMar>
            <w:hideMark/>
          </w:tcPr>
          <w:p w:rsidR="00B0589B" w:rsidRPr="00B0589B" w:rsidRDefault="00B0589B" w:rsidP="00B0589B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= (0, 1,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70" w:type="dxa"/>
              <w:left w:w="405" w:type="dxa"/>
              <w:bottom w:w="270" w:type="dxa"/>
              <w:right w:w="405" w:type="dxa"/>
            </w:tcMar>
            <w:hideMark/>
          </w:tcPr>
          <w:p w:rsidR="00B0589B" w:rsidRPr="00B0589B" w:rsidRDefault="00B0589B" w:rsidP="00B0589B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оборотные средства плюс долгосрочные кредиты и займы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70" w:type="dxa"/>
              <w:left w:w="405" w:type="dxa"/>
              <w:bottom w:w="270" w:type="dxa"/>
              <w:right w:w="405" w:type="dxa"/>
            </w:tcMar>
            <w:hideMark/>
          </w:tcPr>
          <w:p w:rsidR="00B0589B" w:rsidRPr="00B0589B" w:rsidRDefault="00B0589B" w:rsidP="00B0589B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 платежеспособность. Рациональное использование заемных средств. Высокая доходность текущей деятельности</w:t>
            </w:r>
          </w:p>
        </w:tc>
      </w:tr>
      <w:tr w:rsidR="00B0589B" w:rsidRPr="00B0589B" w:rsidTr="008018AB">
        <w:trPr>
          <w:trHeight w:val="3931"/>
          <w:jc w:val="center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0" w:type="dxa"/>
              <w:left w:w="405" w:type="dxa"/>
              <w:bottom w:w="270" w:type="dxa"/>
              <w:right w:w="405" w:type="dxa"/>
            </w:tcMar>
            <w:hideMark/>
          </w:tcPr>
          <w:p w:rsidR="00B0589B" w:rsidRPr="00B0589B" w:rsidRDefault="00B0589B" w:rsidP="00B0589B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Неустойчивое финансовое состояние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0" w:type="dxa"/>
              <w:left w:w="405" w:type="dxa"/>
              <w:bottom w:w="270" w:type="dxa"/>
              <w:right w:w="405" w:type="dxa"/>
            </w:tcMar>
            <w:hideMark/>
          </w:tcPr>
          <w:p w:rsidR="00B0589B" w:rsidRPr="00B0589B" w:rsidRDefault="00B0589B" w:rsidP="00B0589B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= (0, 0,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0" w:type="dxa"/>
              <w:left w:w="405" w:type="dxa"/>
              <w:bottom w:w="270" w:type="dxa"/>
              <w:right w:w="405" w:type="dxa"/>
            </w:tcMar>
            <w:hideMark/>
          </w:tcPr>
          <w:p w:rsidR="00B0589B" w:rsidRPr="00B0589B" w:rsidRDefault="00B0589B" w:rsidP="00B0589B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оборотные средства плюс долгосрочные кредиты и займы плюс краткосрочные кредиты и займы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0" w:type="dxa"/>
              <w:left w:w="405" w:type="dxa"/>
              <w:bottom w:w="270" w:type="dxa"/>
              <w:right w:w="405" w:type="dxa"/>
            </w:tcMar>
            <w:hideMark/>
          </w:tcPr>
          <w:p w:rsidR="00B0589B" w:rsidRPr="00B0589B" w:rsidRDefault="00B0589B" w:rsidP="00B0589B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нормальной платежеспособности. Возникает необходимость привлечения дополнительных источников финансирования. Возможно восстановление платежеспособности</w:t>
            </w:r>
          </w:p>
        </w:tc>
      </w:tr>
      <w:tr w:rsidR="00B0589B" w:rsidRPr="00B0589B" w:rsidTr="008018AB">
        <w:trPr>
          <w:jc w:val="center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70" w:type="dxa"/>
              <w:left w:w="405" w:type="dxa"/>
              <w:bottom w:w="270" w:type="dxa"/>
              <w:right w:w="405" w:type="dxa"/>
            </w:tcMar>
            <w:hideMark/>
          </w:tcPr>
          <w:p w:rsidR="00B0589B" w:rsidRPr="00B0589B" w:rsidRDefault="00B0589B" w:rsidP="00B0589B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Кризисное (критическое) финансовое состояние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70" w:type="dxa"/>
              <w:left w:w="405" w:type="dxa"/>
              <w:bottom w:w="270" w:type="dxa"/>
              <w:right w:w="405" w:type="dxa"/>
            </w:tcMar>
            <w:hideMark/>
          </w:tcPr>
          <w:p w:rsidR="00B0589B" w:rsidRPr="00B0589B" w:rsidRDefault="00B0589B" w:rsidP="00B0589B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= (0, 0, 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70" w:type="dxa"/>
              <w:left w:w="405" w:type="dxa"/>
              <w:bottom w:w="270" w:type="dxa"/>
              <w:right w:w="405" w:type="dxa"/>
            </w:tcMar>
            <w:hideMark/>
          </w:tcPr>
          <w:p w:rsidR="00B0589B" w:rsidRPr="00B0589B" w:rsidRDefault="00B0589B" w:rsidP="00B0589B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70" w:type="dxa"/>
              <w:left w:w="405" w:type="dxa"/>
              <w:bottom w:w="270" w:type="dxa"/>
              <w:right w:w="405" w:type="dxa"/>
            </w:tcMar>
            <w:hideMark/>
          </w:tcPr>
          <w:p w:rsidR="00B0589B" w:rsidRPr="00B0589B" w:rsidRDefault="00B0589B" w:rsidP="00B0589B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 полностью неплатежеспособно и находится на грани банкротства</w:t>
            </w:r>
          </w:p>
        </w:tc>
      </w:tr>
    </w:tbl>
    <w:p w:rsidR="00B0589B" w:rsidRPr="00B0589B" w:rsidRDefault="00B0589B" w:rsidP="00B0589B">
      <w:pPr>
        <w:spacing w:before="360" w:after="36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i/>
          <w:iCs/>
          <w:color w:val="000000"/>
          <w:sz w:val="23"/>
          <w:szCs w:val="23"/>
          <w:lang w:eastAsia="ru-RU"/>
        </w:rPr>
        <w:t>Первый тип финансовой устойчивости</w:t>
      </w: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 можно представить в виде следующей формулы:</w:t>
      </w:r>
    </w:p>
    <w:p w:rsidR="00B0589B" w:rsidRPr="00B0589B" w:rsidRDefault="00B0589B" w:rsidP="00B0589B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М1 = (1, 1, 1), т. е. ∆</w:t>
      </w:r>
      <w:proofErr w:type="gramStart"/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СОС &gt;</w:t>
      </w:r>
      <w:proofErr w:type="gramEnd"/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0; ∆СДИ &gt; 0; ∆ОИЗ &gt; 0.</w:t>
      </w:r>
    </w:p>
    <w:p w:rsidR="00B0589B" w:rsidRPr="00B0589B" w:rsidRDefault="00B0589B" w:rsidP="00B0589B">
      <w:pPr>
        <w:spacing w:before="360" w:after="36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Абсолютная финансовая устойчивость (М1) в современной России встречается очень редко.</w:t>
      </w:r>
    </w:p>
    <w:p w:rsidR="00B0589B" w:rsidRPr="00B0589B" w:rsidRDefault="00B0589B" w:rsidP="00B0589B">
      <w:pPr>
        <w:spacing w:before="360" w:after="36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i/>
          <w:iCs/>
          <w:color w:val="000000"/>
          <w:sz w:val="23"/>
          <w:szCs w:val="23"/>
          <w:lang w:eastAsia="ru-RU"/>
        </w:rPr>
        <w:t>Второй тип (нормальная финансовая устойчивость)</w:t>
      </w: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 можно выразить следующим образом:</w:t>
      </w:r>
    </w:p>
    <w:p w:rsidR="00B0589B" w:rsidRPr="00B0589B" w:rsidRDefault="00B0589B" w:rsidP="00B0589B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М2 = (0, 1, 1), т. е. ∆СОС </w:t>
      </w:r>
      <w:proofErr w:type="gramStart"/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&lt; 0</w:t>
      </w:r>
      <w:proofErr w:type="gramEnd"/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; ∆СДИ &gt; 0; ∆ОИЗ &gt; 0.</w:t>
      </w:r>
    </w:p>
    <w:p w:rsidR="00B0589B" w:rsidRPr="00B0589B" w:rsidRDefault="00B0589B" w:rsidP="00B0589B">
      <w:pPr>
        <w:spacing w:before="360" w:after="36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Нормальная финансовая устойчивость гарантирует выполнение финансовых обязательств предприятия перед контрагентами и государством.</w:t>
      </w:r>
    </w:p>
    <w:p w:rsidR="00B0589B" w:rsidRPr="00B0589B" w:rsidRDefault="00B0589B" w:rsidP="00B0589B">
      <w:pPr>
        <w:spacing w:before="360" w:after="36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i/>
          <w:iCs/>
          <w:color w:val="000000"/>
          <w:sz w:val="23"/>
          <w:szCs w:val="23"/>
          <w:lang w:eastAsia="ru-RU"/>
        </w:rPr>
        <w:t>Третий тип (неустойчивое финансовое состояние)</w:t>
      </w: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 устанавливают по формуле:</w:t>
      </w:r>
    </w:p>
    <w:p w:rsidR="00B0589B" w:rsidRPr="00B0589B" w:rsidRDefault="00B0589B" w:rsidP="00B0589B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М3 = (0, 0, 1), т. е. ∆СОС </w:t>
      </w:r>
      <w:proofErr w:type="gramStart"/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&lt; 0</w:t>
      </w:r>
      <w:proofErr w:type="gramEnd"/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; ∆СДИ &lt; 0; ∆ОИЗ &gt; 0.</w:t>
      </w:r>
    </w:p>
    <w:p w:rsidR="00B0589B" w:rsidRPr="00B0589B" w:rsidRDefault="00B0589B" w:rsidP="00B0589B">
      <w:pPr>
        <w:spacing w:before="360" w:after="36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i/>
          <w:iCs/>
          <w:color w:val="000000"/>
          <w:sz w:val="23"/>
          <w:szCs w:val="23"/>
          <w:lang w:eastAsia="ru-RU"/>
        </w:rPr>
        <w:t>Четвертый тип (кризисное финансовое состояние)</w:t>
      </w: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 можно представить в следующем виде:</w:t>
      </w:r>
    </w:p>
    <w:p w:rsidR="00B0589B" w:rsidRPr="00B0589B" w:rsidRDefault="00B0589B" w:rsidP="00B0589B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М4 = (0, 0, 0), т. е. ∆СОС </w:t>
      </w:r>
      <w:proofErr w:type="gramStart"/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&lt; 0</w:t>
      </w:r>
      <w:proofErr w:type="gramEnd"/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; ∆СДИ &lt; 0; ∆ОИЗ &lt; 0.</w:t>
      </w:r>
    </w:p>
    <w:p w:rsidR="00B0589B" w:rsidRPr="00B0589B" w:rsidRDefault="00B0589B" w:rsidP="00B0589B">
      <w:pPr>
        <w:spacing w:before="360" w:after="36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B058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lastRenderedPageBreak/>
        <w:t>При последней ситуации предприятие полностью неплатежеспособно и находится на грани банкротства, т. к. основной элемент оборотных активов «Запасы» не обеспечен источниками финансирования.</w:t>
      </w:r>
    </w:p>
    <w:p w:rsidR="00B0589B" w:rsidRPr="008018AB" w:rsidRDefault="00B0589B" w:rsidP="00AA3322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589B" w:rsidRPr="008018AB" w:rsidRDefault="00B0589B" w:rsidP="00AA3322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589B" w:rsidRPr="008018AB" w:rsidRDefault="00B0589B" w:rsidP="00AA3322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589B" w:rsidRPr="008018AB" w:rsidRDefault="00B0589B" w:rsidP="00AA3322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589B" w:rsidRPr="008018AB" w:rsidRDefault="00B0589B" w:rsidP="00AA3322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C6321" w:rsidRPr="008018AB" w:rsidRDefault="00FC6321" w:rsidP="00AA3322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C6321" w:rsidRPr="008018AB" w:rsidRDefault="00FC6321" w:rsidP="00AA3322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C6321" w:rsidRPr="008018AB" w:rsidRDefault="00FC6321" w:rsidP="00AA3322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C6321" w:rsidRPr="008018AB" w:rsidRDefault="00FC6321" w:rsidP="00AA3322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C6321" w:rsidRPr="008018AB" w:rsidRDefault="00FC6321" w:rsidP="00AA3322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C6321" w:rsidRDefault="00FC6321" w:rsidP="00AA3322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FC6321" w:rsidRDefault="00FC6321" w:rsidP="00AA3322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FC6321" w:rsidRDefault="00FC6321" w:rsidP="00AA3322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FC6321" w:rsidRDefault="00FC6321" w:rsidP="00AA3322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FC6321" w:rsidRDefault="00FC6321" w:rsidP="00AA3322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FC6321" w:rsidRDefault="00FC6321" w:rsidP="00AA3322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FC6321" w:rsidRDefault="00FC6321" w:rsidP="00AA3322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FC6321" w:rsidRDefault="00FC6321" w:rsidP="00AA3322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FC6321" w:rsidRDefault="00FC6321" w:rsidP="00AA3322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FC6321" w:rsidRDefault="00FC6321" w:rsidP="00AA3322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FC6321" w:rsidRDefault="00FC6321" w:rsidP="00AA3322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FC6321" w:rsidRDefault="00FC6321" w:rsidP="00AA3322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8018AB" w:rsidRDefault="008018AB" w:rsidP="00AA3322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FC6321" w:rsidRPr="008018AB" w:rsidRDefault="00FC6321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Формулы оборачиваемости </w:t>
      </w:r>
    </w:p>
    <w:p w:rsidR="00FC6321" w:rsidRPr="008018AB" w:rsidRDefault="00FC6321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346"/>
          <w:sz w:val="24"/>
          <w:szCs w:val="24"/>
          <w:lang w:eastAsia="ru-RU"/>
        </w:rPr>
      </w:pPr>
    </w:p>
    <w:p w:rsidR="00FC6321" w:rsidRPr="008018AB" w:rsidRDefault="00FC6321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346"/>
          <w:sz w:val="24"/>
          <w:szCs w:val="24"/>
          <w:lang w:eastAsia="ru-RU"/>
        </w:rPr>
      </w:pPr>
    </w:p>
    <w:p w:rsidR="00FC6321" w:rsidRPr="008018AB" w:rsidRDefault="00FC6321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sz w:val="24"/>
          <w:szCs w:val="24"/>
          <w:lang w:eastAsia="ru-RU"/>
        </w:rPr>
        <w:t>Оборачиваемость активов (коэффициент) = Выручка / Среднегодовая стоимость активов</w:t>
      </w:r>
    </w:p>
    <w:p w:rsidR="00FC6321" w:rsidRPr="008018AB" w:rsidRDefault="00FC6321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sz w:val="24"/>
          <w:szCs w:val="24"/>
          <w:lang w:eastAsia="ru-RU"/>
        </w:rPr>
        <w:t>или</w:t>
      </w:r>
    </w:p>
    <w:p w:rsidR="00FC6321" w:rsidRPr="008018AB" w:rsidRDefault="00FC6321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sz w:val="24"/>
          <w:szCs w:val="24"/>
          <w:lang w:eastAsia="ru-RU"/>
        </w:rPr>
        <w:t>Оборачиваемость активов (в днях) = 365 / Коэффициент оборачиваемости активов</w:t>
      </w:r>
    </w:p>
    <w:p w:rsidR="00FC6321" w:rsidRPr="008018AB" w:rsidRDefault="00FC6321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sz w:val="24"/>
          <w:szCs w:val="24"/>
          <w:lang w:eastAsia="ru-RU"/>
        </w:rPr>
        <w:t>Данные о выручки можно получить из "Отчета о прибылях и убытках", данные о величине активов – из Баланса (сальдо баланса). Для расчета среднегодовой величины активов находят их сумму на начало и конец года и делят на 2.</w:t>
      </w:r>
    </w:p>
    <w:p w:rsidR="00FC6321" w:rsidRPr="008018AB" w:rsidRDefault="00FC6321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6321" w:rsidRPr="008018AB" w:rsidRDefault="00FC6321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18AB">
        <w:rPr>
          <w:rFonts w:ascii="Times New Roman" w:hAnsi="Times New Roman" w:cs="Times New Roman"/>
          <w:sz w:val="24"/>
          <w:szCs w:val="24"/>
          <w:lang w:eastAsia="ru-RU"/>
        </w:rPr>
        <w:t>Коэффициент оборачиваемости активов=</w:t>
      </w:r>
      <w:r w:rsidRPr="00801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Выручка / Среднегодовая стоимость активов</w:t>
      </w:r>
    </w:p>
    <w:p w:rsidR="00FC6321" w:rsidRPr="008018AB" w:rsidRDefault="00FC6321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18AB">
        <w:rPr>
          <w:rFonts w:ascii="Times New Roman" w:hAnsi="Times New Roman" w:cs="Times New Roman"/>
          <w:sz w:val="24"/>
          <w:szCs w:val="24"/>
          <w:shd w:val="clear" w:color="auto" w:fill="FFFFFF"/>
        </w:rPr>
        <w:t>Коэффициент оборачиваемости оборотных активов = Выручка / Среднегодовая стоимость оборотных активов</w:t>
      </w:r>
    </w:p>
    <w:p w:rsidR="00FC6321" w:rsidRPr="008018AB" w:rsidRDefault="00FC6321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18AB">
        <w:rPr>
          <w:rFonts w:ascii="Times New Roman" w:hAnsi="Times New Roman" w:cs="Times New Roman"/>
          <w:sz w:val="24"/>
          <w:szCs w:val="24"/>
          <w:shd w:val="clear" w:color="auto" w:fill="FFFFFF"/>
        </w:rPr>
        <w:t>Коэффициент оборачиваемости собственного капитала = Выручка / Средняя величина собственного капитала</w:t>
      </w:r>
    </w:p>
    <w:p w:rsidR="00FC6321" w:rsidRPr="008018AB" w:rsidRDefault="00FC6321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18AB">
        <w:rPr>
          <w:rFonts w:ascii="Times New Roman" w:hAnsi="Times New Roman" w:cs="Times New Roman"/>
          <w:sz w:val="24"/>
          <w:szCs w:val="24"/>
          <w:shd w:val="clear" w:color="auto" w:fill="FFFFFF"/>
        </w:rPr>
        <w:t>Коэффициент оборачиваемости заемного капитала = Выручка от продажи / Средняя величина заемного капитала</w:t>
      </w:r>
    </w:p>
    <w:p w:rsidR="00FC6321" w:rsidRPr="008018AB" w:rsidRDefault="00FC6321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18AB">
        <w:rPr>
          <w:rFonts w:ascii="Times New Roman" w:hAnsi="Times New Roman" w:cs="Times New Roman"/>
          <w:sz w:val="24"/>
          <w:szCs w:val="24"/>
          <w:shd w:val="clear" w:color="auto" w:fill="FFFFFF"/>
        </w:rPr>
        <w:t>Коэффициент оборачиваемости дебиторской задолженности = Выручка / Среднегодовая величина дебиторской задолженности</w:t>
      </w:r>
    </w:p>
    <w:p w:rsidR="000C6BB5" w:rsidRPr="008018AB" w:rsidRDefault="000C6BB5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C6BB5" w:rsidRPr="008018AB" w:rsidRDefault="000C6BB5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C6BB5" w:rsidRPr="008018AB" w:rsidRDefault="000C6BB5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C6321" w:rsidRPr="008018AB" w:rsidRDefault="00FC6321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C6BB5" w:rsidRDefault="000C6BB5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018A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Изменение оборачиваемости активов (ОА): экономический эффект</w:t>
      </w:r>
    </w:p>
    <w:p w:rsidR="008018AB" w:rsidRPr="008018AB" w:rsidRDefault="008018AB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C6BB5" w:rsidRPr="008018AB" w:rsidRDefault="000C6BB5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Данный эффект может выражаться в высвобождении свободных денежных средств, вкладываемых в ОА, по причине повышения динамики оборота соответствующих ОА (или же, в свою очередь, в необходимости привлечения дополнительных средств по причине замедления оборота ОА).</w:t>
      </w:r>
    </w:p>
    <w:p w:rsidR="000C6BB5" w:rsidRPr="008018AB" w:rsidRDefault="000C6BB5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точки зрения бизнеса экономический эффект здесь может быть, таким образом, положительным или отрицательным. Вычисляться он будет с использованием формулы:</w:t>
      </w:r>
    </w:p>
    <w:p w:rsidR="000C6BB5" w:rsidRPr="008018AB" w:rsidRDefault="000C6BB5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ЭИ = (СПО1 — СПО2) × СВ,</w:t>
      </w:r>
    </w:p>
    <w:p w:rsidR="000C6BB5" w:rsidRPr="008018AB" w:rsidRDefault="000C6BB5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0C6BB5" w:rsidRPr="008018AB" w:rsidRDefault="000C6BB5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ЭИ — эффект от использования ОА;</w:t>
      </w:r>
    </w:p>
    <w:p w:rsidR="000C6BB5" w:rsidRPr="008018AB" w:rsidRDefault="000C6BB5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СПО1 — период оборота ОА за анализируемый период;</w:t>
      </w:r>
    </w:p>
    <w:p w:rsidR="000C6BB5" w:rsidRPr="008018AB" w:rsidRDefault="000C6BB5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СПО2 — период оборота ОА за период, предшествующий анализируемому.</w:t>
      </w:r>
    </w:p>
    <w:p w:rsidR="000C6BB5" w:rsidRPr="008018AB" w:rsidRDefault="000C6BB5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 — среднедневная выручка в анализируемом периоде.</w:t>
      </w:r>
    </w:p>
    <w:p w:rsidR="000C6BB5" w:rsidRPr="008018AB" w:rsidRDefault="000C6BB5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СПО1 меньше СПО2, в то время как ЭИ будет меньше 0, то это будет означать, что фирма смогла высвободить денежные средства по причине повышения динамики хозяйственного применения ОА. Это свидетельствует о положительном развитии бизнеса.</w:t>
      </w:r>
    </w:p>
    <w:p w:rsidR="000C6BB5" w:rsidRPr="008018AB" w:rsidRDefault="000C6BB5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СПО1 больше СПО2, в то время как ЭИ будет больше 0, то это будет показателем того, что фирме пришлось осуществлять в целях воспроизводства бизнес-модели дополнительные инвестиции в оборотные активы по причине снижения динамики их хозяйственного применения. Это свидетельствует о замедлении развития бизнеса.</w:t>
      </w:r>
    </w:p>
    <w:p w:rsidR="000C6BB5" w:rsidRPr="008018AB" w:rsidRDefault="000C6BB5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18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свою очередь, конкретное значение показателя ЭИ (оно будет зависеть от показателя СВ) в данном случае полезно наблюдать в динамике: при сохранении положительного экономического эффекта уменьшение его значения может свидетельствовать о снижении эффективности управления предприятием.</w:t>
      </w:r>
    </w:p>
    <w:p w:rsidR="000C6BB5" w:rsidRPr="008018AB" w:rsidRDefault="000C6BB5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6BB5" w:rsidRPr="008018AB" w:rsidRDefault="000C6BB5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589B" w:rsidRPr="008018AB" w:rsidRDefault="00B0589B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0589B" w:rsidRPr="008018AB" w:rsidRDefault="00B0589B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A3322" w:rsidRPr="008018AB" w:rsidRDefault="00AA3322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3322" w:rsidRPr="008018AB" w:rsidRDefault="00AA3322" w:rsidP="008018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F06FA" w:rsidRDefault="00FF06FA"/>
    <w:sectPr w:rsidR="00FF06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18A" w:rsidRDefault="0021718A" w:rsidP="008018AB">
      <w:pPr>
        <w:spacing w:after="0" w:line="240" w:lineRule="auto"/>
      </w:pPr>
      <w:r>
        <w:separator/>
      </w:r>
    </w:p>
  </w:endnote>
  <w:endnote w:type="continuationSeparator" w:id="0">
    <w:p w:rsidR="0021718A" w:rsidRDefault="0021718A" w:rsidP="0080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18A" w:rsidRDefault="0021718A" w:rsidP="008018AB">
      <w:pPr>
        <w:spacing w:after="0" w:line="240" w:lineRule="auto"/>
      </w:pPr>
      <w:r>
        <w:separator/>
      </w:r>
    </w:p>
  </w:footnote>
  <w:footnote w:type="continuationSeparator" w:id="0">
    <w:p w:rsidR="0021718A" w:rsidRDefault="0021718A" w:rsidP="00801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AB" w:rsidRPr="008018AB" w:rsidRDefault="008018AB" w:rsidP="008018AB">
    <w:pPr>
      <w:pStyle w:val="a3"/>
      <w:jc w:val="right"/>
      <w:rPr>
        <w:rFonts w:ascii="Times New Roman" w:hAnsi="Times New Roman" w:cs="Times New Roman"/>
        <w:sz w:val="24"/>
        <w:szCs w:val="24"/>
      </w:rPr>
    </w:pPr>
    <w:proofErr w:type="gramStart"/>
    <w:r w:rsidRPr="008018AB">
      <w:rPr>
        <w:rFonts w:ascii="Times New Roman" w:hAnsi="Times New Roman" w:cs="Times New Roman"/>
        <w:sz w:val="24"/>
        <w:szCs w:val="24"/>
      </w:rPr>
      <w:t>ПРИЛОЖЕНИЕ  6</w:t>
    </w:r>
    <w:proofErr w:type="gramEnd"/>
  </w:p>
  <w:p w:rsidR="008018AB" w:rsidRDefault="008018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22"/>
    <w:rsid w:val="000C6BB5"/>
    <w:rsid w:val="00140017"/>
    <w:rsid w:val="0021718A"/>
    <w:rsid w:val="00246482"/>
    <w:rsid w:val="00483958"/>
    <w:rsid w:val="00633138"/>
    <w:rsid w:val="008018AB"/>
    <w:rsid w:val="00AA3322"/>
    <w:rsid w:val="00B0589B"/>
    <w:rsid w:val="00FC6321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AC959-020E-40F7-BDF1-B33C8441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8AB"/>
  </w:style>
  <w:style w:type="paragraph" w:styleId="a5">
    <w:name w:val="footer"/>
    <w:basedOn w:val="a"/>
    <w:link w:val="a6"/>
    <w:uiPriority w:val="99"/>
    <w:unhideWhenUsed/>
    <w:rsid w:val="00801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2022-01-16T16:53:00Z</dcterms:created>
  <dcterms:modified xsi:type="dcterms:W3CDTF">2022-01-16T21:58:00Z</dcterms:modified>
</cp:coreProperties>
</file>