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636" w:rsidRPr="0028121E" w:rsidRDefault="00055636" w:rsidP="002E5C3A">
      <w:pPr>
        <w:shd w:val="clear" w:color="auto" w:fill="FFFFFF"/>
        <w:spacing w:after="0" w:line="240" w:lineRule="auto"/>
        <w:ind w:firstLine="709"/>
        <w:jc w:val="center"/>
        <w:textAlignment w:val="baseline"/>
        <w:outlineLvl w:val="2"/>
        <w:rPr>
          <w:rFonts w:ascii="Times New Roman" w:eastAsia="Times New Roman" w:hAnsi="Times New Roman" w:cs="Times New Roman"/>
          <w:b/>
          <w:spacing w:val="-6"/>
          <w:sz w:val="24"/>
          <w:szCs w:val="24"/>
          <w:lang w:eastAsia="ru-RU"/>
        </w:rPr>
      </w:pPr>
      <w:r w:rsidRPr="0028121E">
        <w:rPr>
          <w:rFonts w:ascii="Times New Roman" w:eastAsia="Times New Roman" w:hAnsi="Times New Roman" w:cs="Times New Roman"/>
          <w:b/>
          <w:sz w:val="24"/>
          <w:szCs w:val="24"/>
          <w:lang w:eastAsia="ru-RU"/>
        </w:rPr>
        <w:t>Методы Китая для управления своей денежной массой</w:t>
      </w:r>
    </w:p>
    <w:p w:rsidR="00055636" w:rsidRPr="0028121E" w:rsidRDefault="00055636" w:rsidP="0028121E">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
    <w:p w:rsidR="00055636" w:rsidRPr="0028121E" w:rsidRDefault="00055636" w:rsidP="0028121E">
      <w:pPr>
        <w:shd w:val="clear" w:color="auto" w:fill="FFFFFF"/>
        <w:spacing w:after="0" w:line="240" w:lineRule="auto"/>
        <w:ind w:firstLine="709"/>
        <w:jc w:val="both"/>
        <w:textAlignment w:val="baseline"/>
        <w:outlineLvl w:val="2"/>
        <w:rPr>
          <w:rFonts w:ascii="Times New Roman" w:eastAsia="Times New Roman" w:hAnsi="Times New Roman" w:cs="Times New Roman"/>
          <w:b/>
          <w:spacing w:val="-6"/>
          <w:sz w:val="24"/>
          <w:szCs w:val="24"/>
          <w:lang w:eastAsia="ru-RU"/>
        </w:rPr>
      </w:pPr>
      <w:r w:rsidRPr="0028121E">
        <w:rPr>
          <w:rFonts w:ascii="Times New Roman" w:eastAsia="Times New Roman" w:hAnsi="Times New Roman" w:cs="Times New Roman"/>
          <w:b/>
          <w:spacing w:val="-6"/>
          <w:sz w:val="24"/>
          <w:szCs w:val="24"/>
          <w:lang w:eastAsia="ru-RU"/>
        </w:rPr>
        <w:t>Контроль курсов Forex </w:t>
      </w:r>
    </w:p>
    <w:p w:rsidR="00055636" w:rsidRPr="0028121E" w:rsidRDefault="00055636" w:rsidP="0028121E">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28121E">
        <w:rPr>
          <w:rFonts w:ascii="Times New Roman" w:eastAsia="Times New Roman" w:hAnsi="Times New Roman" w:cs="Times New Roman"/>
          <w:sz w:val="24"/>
          <w:szCs w:val="24"/>
          <w:lang w:eastAsia="ru-RU"/>
        </w:rPr>
        <w:t>Одной из основных задач китайского центрального банка, НБК, является поглощение большого притока иностранного капитала за счет положительного сальдо торгового баланса Китая. НБК покупает иностранную валюту у экспортеров и выпускает эту валюту в местных юанях. НБК может публиковать любую сумму в местной валюте и обменивать ее на форекс.</w:t>
      </w:r>
    </w:p>
    <w:p w:rsidR="00055636" w:rsidRPr="0028121E" w:rsidRDefault="00055636" w:rsidP="0028121E">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28121E">
        <w:rPr>
          <w:rFonts w:ascii="Times New Roman" w:eastAsia="Times New Roman" w:hAnsi="Times New Roman" w:cs="Times New Roman"/>
          <w:sz w:val="24"/>
          <w:szCs w:val="24"/>
          <w:lang w:eastAsia="ru-RU"/>
        </w:rPr>
        <w:t>Публикация банкнот в местной валюте гарантирует, что курсы валют остаются фиксированными или находятся в узком диапазоне. Это гарантирует, что китайский экспорт остается более дешевым, а Китай сохраняет свои преимущества как производственная, ориентированная на экспорт экономика. Прежде всего, Китай жестко контролирует поступающие в страну иностранные деньги, что влияет на его денежную массу.</w:t>
      </w:r>
    </w:p>
    <w:p w:rsidR="00055636" w:rsidRPr="0028121E" w:rsidRDefault="00055636" w:rsidP="0028121E">
      <w:pPr>
        <w:shd w:val="clear" w:color="auto" w:fill="FFFFFF"/>
        <w:spacing w:after="0" w:line="240" w:lineRule="auto"/>
        <w:ind w:firstLine="709"/>
        <w:jc w:val="both"/>
        <w:textAlignment w:val="baseline"/>
        <w:outlineLvl w:val="2"/>
        <w:rPr>
          <w:rFonts w:ascii="Times New Roman" w:eastAsia="Times New Roman" w:hAnsi="Times New Roman" w:cs="Times New Roman"/>
          <w:b/>
          <w:spacing w:val="-6"/>
          <w:sz w:val="24"/>
          <w:szCs w:val="24"/>
          <w:lang w:eastAsia="ru-RU"/>
        </w:rPr>
      </w:pPr>
      <w:r w:rsidRPr="0028121E">
        <w:rPr>
          <w:rFonts w:ascii="Times New Roman" w:eastAsia="Times New Roman" w:hAnsi="Times New Roman" w:cs="Times New Roman"/>
          <w:b/>
          <w:spacing w:val="-6"/>
          <w:sz w:val="24"/>
          <w:szCs w:val="24"/>
          <w:lang w:eastAsia="ru-RU"/>
        </w:rPr>
        <w:t>Стерилизация </w:t>
      </w:r>
    </w:p>
    <w:p w:rsidR="00055636" w:rsidRPr="0028121E" w:rsidRDefault="00055636" w:rsidP="0028121E">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28121E">
        <w:rPr>
          <w:rFonts w:ascii="Times New Roman" w:eastAsia="Times New Roman" w:hAnsi="Times New Roman" w:cs="Times New Roman"/>
          <w:sz w:val="24"/>
          <w:szCs w:val="24"/>
          <w:lang w:eastAsia="ru-RU"/>
        </w:rPr>
        <w:t>Китай применяет различные меры по </w:t>
      </w:r>
      <w:r w:rsidRPr="0028121E">
        <w:rPr>
          <w:rFonts w:ascii="Times New Roman" w:eastAsia="Times New Roman" w:hAnsi="Times New Roman" w:cs="Times New Roman"/>
          <w:sz w:val="24"/>
          <w:szCs w:val="24"/>
          <w:u w:val="single"/>
          <w:lang w:eastAsia="ru-RU"/>
        </w:rPr>
        <w:t>стерилизации</w:t>
      </w:r>
      <w:r w:rsidRPr="0028121E">
        <w:rPr>
          <w:rFonts w:ascii="Times New Roman" w:eastAsia="Times New Roman" w:hAnsi="Times New Roman" w:cs="Times New Roman"/>
          <w:sz w:val="24"/>
          <w:szCs w:val="24"/>
          <w:lang w:eastAsia="ru-RU"/>
        </w:rPr>
        <w:t>, которые относятся к денежно-кредитным мерам, предпринимаемым НБК для ограничения воздействия на денежную массу постоянного притока и оттока капитала. Однако действия НБК могут привести к негативным последствиям. </w:t>
      </w:r>
    </w:p>
    <w:p w:rsidR="00055636" w:rsidRPr="0028121E" w:rsidRDefault="00055636" w:rsidP="0028121E">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28121E">
        <w:rPr>
          <w:rFonts w:ascii="Times New Roman" w:eastAsia="Times New Roman" w:hAnsi="Times New Roman" w:cs="Times New Roman"/>
          <w:sz w:val="24"/>
          <w:szCs w:val="24"/>
          <w:lang w:eastAsia="ru-RU"/>
        </w:rPr>
        <w:t>Банк увеличивает предложение местной валюты на внутренних рынках, что увеличивает вероятность высокой инфляции. Чтобы сократить избыточную денежную массу, НБК продает необходимое количество облигаций в национальной валюте, что уносит излишки денежных средств с открытых рынков. НБК также покупает облигации в национальной валюте, чтобы при необходимости вливать наличные на рынки.</w:t>
      </w:r>
    </w:p>
    <w:p w:rsidR="00055636" w:rsidRPr="0028121E" w:rsidRDefault="00055636" w:rsidP="0028121E">
      <w:pPr>
        <w:shd w:val="clear" w:color="auto" w:fill="FFFFFF"/>
        <w:spacing w:after="0" w:line="240" w:lineRule="auto"/>
        <w:ind w:firstLine="709"/>
        <w:jc w:val="both"/>
        <w:textAlignment w:val="baseline"/>
        <w:outlineLvl w:val="2"/>
        <w:rPr>
          <w:rFonts w:ascii="Times New Roman" w:eastAsia="Times New Roman" w:hAnsi="Times New Roman" w:cs="Times New Roman"/>
          <w:b/>
          <w:spacing w:val="-6"/>
          <w:sz w:val="24"/>
          <w:szCs w:val="24"/>
          <w:lang w:eastAsia="ru-RU"/>
        </w:rPr>
      </w:pPr>
      <w:r w:rsidRPr="0028121E">
        <w:rPr>
          <w:rFonts w:ascii="Times New Roman" w:eastAsia="Times New Roman" w:hAnsi="Times New Roman" w:cs="Times New Roman"/>
          <w:b/>
          <w:spacing w:val="-6"/>
          <w:sz w:val="24"/>
          <w:szCs w:val="24"/>
          <w:lang w:eastAsia="ru-RU"/>
        </w:rPr>
        <w:t>Печать валюты</w:t>
      </w:r>
    </w:p>
    <w:p w:rsidR="00055636" w:rsidRPr="0028121E" w:rsidRDefault="00055636" w:rsidP="0028121E">
      <w:pPr>
        <w:shd w:val="clear" w:color="auto" w:fill="FFFFFF"/>
        <w:spacing w:after="0" w:line="240" w:lineRule="auto"/>
        <w:ind w:firstLine="709"/>
        <w:jc w:val="both"/>
        <w:textAlignment w:val="baseline"/>
        <w:rPr>
          <w:rFonts w:ascii="Times New Roman" w:eastAsia="Times New Roman" w:hAnsi="Times New Roman" w:cs="Times New Roman"/>
          <w:b/>
          <w:sz w:val="24"/>
          <w:szCs w:val="24"/>
          <w:lang w:eastAsia="ru-RU"/>
        </w:rPr>
      </w:pPr>
      <w:r w:rsidRPr="0028121E">
        <w:rPr>
          <w:rFonts w:ascii="Times New Roman" w:eastAsia="Times New Roman" w:hAnsi="Times New Roman" w:cs="Times New Roman"/>
          <w:sz w:val="24"/>
          <w:szCs w:val="24"/>
          <w:lang w:eastAsia="ru-RU"/>
        </w:rPr>
        <w:t>Печать национальной валюты – еще одна мера, применяемая Китаем. НБК может печатать юань по мере необходимости, хотя это может привести к высокой инфляции. Однако в Китае существует жесткий государственный контроль над своей экономикой, что позволяет ему контролировать инфляцию иначе, чем в других странах. В Китае вносятся изменения в субсидии и другие меры регулирования цен для сдерживания инфляции</w:t>
      </w:r>
      <w:r w:rsidRPr="0028121E">
        <w:rPr>
          <w:rFonts w:ascii="Times New Roman" w:eastAsia="Times New Roman" w:hAnsi="Times New Roman" w:cs="Times New Roman"/>
          <w:b/>
          <w:sz w:val="24"/>
          <w:szCs w:val="24"/>
          <w:lang w:eastAsia="ru-RU"/>
        </w:rPr>
        <w:t>.</w:t>
      </w:r>
    </w:p>
    <w:p w:rsidR="00055636" w:rsidRPr="0028121E" w:rsidRDefault="00055636" w:rsidP="0028121E">
      <w:pPr>
        <w:shd w:val="clear" w:color="auto" w:fill="FFFFFF"/>
        <w:spacing w:after="0" w:line="240" w:lineRule="auto"/>
        <w:ind w:firstLine="709"/>
        <w:jc w:val="both"/>
        <w:textAlignment w:val="baseline"/>
        <w:outlineLvl w:val="2"/>
        <w:rPr>
          <w:rFonts w:ascii="Times New Roman" w:eastAsia="Times New Roman" w:hAnsi="Times New Roman" w:cs="Times New Roman"/>
          <w:b/>
          <w:spacing w:val="-6"/>
          <w:sz w:val="24"/>
          <w:szCs w:val="24"/>
          <w:lang w:eastAsia="ru-RU"/>
        </w:rPr>
      </w:pPr>
      <w:r w:rsidRPr="0028121E">
        <w:rPr>
          <w:rFonts w:ascii="Times New Roman" w:eastAsia="Times New Roman" w:hAnsi="Times New Roman" w:cs="Times New Roman"/>
          <w:b/>
          <w:spacing w:val="-6"/>
          <w:sz w:val="24"/>
          <w:szCs w:val="24"/>
          <w:lang w:eastAsia="ru-RU"/>
        </w:rPr>
        <w:t>Коэффициент резервирования</w:t>
      </w:r>
    </w:p>
    <w:p w:rsidR="00055636" w:rsidRPr="0028121E" w:rsidRDefault="00055636" w:rsidP="0028121E">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28121E">
        <w:rPr>
          <w:rFonts w:ascii="Times New Roman" w:eastAsia="Times New Roman" w:hAnsi="Times New Roman" w:cs="Times New Roman"/>
          <w:sz w:val="24"/>
          <w:szCs w:val="24"/>
          <w:lang w:eastAsia="ru-RU"/>
        </w:rPr>
        <w:t>Коммерческие банки обязаны хранить процент от общей суммы депозита в центральном банке страны, который известен как коэффициент  </w:t>
      </w:r>
      <w:r w:rsidRPr="0028121E">
        <w:rPr>
          <w:rFonts w:ascii="Times New Roman" w:eastAsia="Times New Roman" w:hAnsi="Times New Roman" w:cs="Times New Roman"/>
          <w:sz w:val="24"/>
          <w:szCs w:val="24"/>
          <w:u w:val="single"/>
          <w:lang w:eastAsia="ru-RU"/>
        </w:rPr>
        <w:t>резервирования</w:t>
      </w:r>
      <w:r w:rsidRPr="0028121E">
        <w:rPr>
          <w:rFonts w:ascii="Times New Roman" w:eastAsia="Times New Roman" w:hAnsi="Times New Roman" w:cs="Times New Roman"/>
          <w:sz w:val="24"/>
          <w:szCs w:val="24"/>
          <w:lang w:eastAsia="ru-RU"/>
        </w:rPr>
        <w:t>.Если центральные банки уменьшают норму резервирования, коммерческие банки хранят меньше денег в качестве резерва и имеют больше денег, доступных для увеличения денежной массы (и наоборот).</w:t>
      </w:r>
      <w:r w:rsidRPr="0028121E">
        <w:rPr>
          <w:rFonts w:ascii="Tahoma" w:eastAsia="Times New Roman" w:hAnsi="Tahoma" w:cs="Times New Roman"/>
          <w:sz w:val="24"/>
          <w:szCs w:val="24"/>
          <w:lang w:eastAsia="ru-RU"/>
        </w:rPr>
        <w:t>﻿</w:t>
      </w:r>
    </w:p>
    <w:p w:rsidR="00055636" w:rsidRPr="0028121E" w:rsidRDefault="00055636" w:rsidP="0028121E">
      <w:pPr>
        <w:shd w:val="clear" w:color="auto" w:fill="FFFFFF"/>
        <w:spacing w:after="0" w:line="240" w:lineRule="auto"/>
        <w:ind w:firstLine="709"/>
        <w:jc w:val="both"/>
        <w:textAlignment w:val="baseline"/>
        <w:outlineLvl w:val="2"/>
        <w:rPr>
          <w:rFonts w:ascii="Times New Roman" w:eastAsia="Times New Roman" w:hAnsi="Times New Roman" w:cs="Times New Roman"/>
          <w:b/>
          <w:spacing w:val="-6"/>
          <w:sz w:val="24"/>
          <w:szCs w:val="24"/>
          <w:lang w:eastAsia="ru-RU"/>
        </w:rPr>
      </w:pPr>
      <w:r w:rsidRPr="0028121E">
        <w:rPr>
          <w:rFonts w:ascii="Times New Roman" w:eastAsia="Times New Roman" w:hAnsi="Times New Roman" w:cs="Times New Roman"/>
          <w:b/>
          <w:spacing w:val="-6"/>
          <w:sz w:val="24"/>
          <w:szCs w:val="24"/>
          <w:lang w:eastAsia="ru-RU"/>
        </w:rPr>
        <w:t>Ставка дисконтирования</w:t>
      </w:r>
    </w:p>
    <w:p w:rsidR="00055636" w:rsidRPr="0028121E" w:rsidRDefault="00055636" w:rsidP="0028121E">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28121E">
        <w:rPr>
          <w:rFonts w:ascii="Times New Roman" w:eastAsia="Times New Roman" w:hAnsi="Times New Roman" w:cs="Times New Roman"/>
          <w:sz w:val="24"/>
          <w:szCs w:val="24"/>
          <w:lang w:eastAsia="ru-RU"/>
        </w:rPr>
        <w:t>Если коммерческие банки занимают дополнительные деньги у центральных банков, они выплачивают проценты на эту сумму в соответствии с применимой  </w:t>
      </w:r>
      <w:r w:rsidRPr="0028121E">
        <w:rPr>
          <w:rFonts w:ascii="Times New Roman" w:eastAsia="Times New Roman" w:hAnsi="Times New Roman" w:cs="Times New Roman"/>
          <w:sz w:val="24"/>
          <w:szCs w:val="24"/>
          <w:u w:val="single"/>
          <w:lang w:eastAsia="ru-RU"/>
        </w:rPr>
        <w:t>учетной ставкой</w:t>
      </w:r>
      <w:r w:rsidRPr="0028121E">
        <w:rPr>
          <w:rFonts w:ascii="Times New Roman" w:eastAsia="Times New Roman" w:hAnsi="Times New Roman" w:cs="Times New Roman"/>
          <w:sz w:val="24"/>
          <w:szCs w:val="24"/>
          <w:lang w:eastAsia="ru-RU"/>
        </w:rPr>
        <w:t>. Центральные банки могут изменять учетную ставку для увеличения или уменьшения стоимости таких заимствований, что в конечном итоге влияет на доступность денег на открытых рынках. За изменениями ставок дисконтирования широко следят по всему миру, чтобы контролировать денежную массу.</w:t>
      </w:r>
    </w:p>
    <w:p w:rsidR="00055636" w:rsidRPr="0028121E" w:rsidRDefault="00055636" w:rsidP="0028121E">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
    <w:p w:rsidR="00EA4E71" w:rsidRPr="0028121E" w:rsidRDefault="00EA4E71" w:rsidP="0028121E">
      <w:pPr>
        <w:shd w:val="clear" w:color="auto" w:fill="FFFFFF"/>
        <w:spacing w:after="0" w:line="240" w:lineRule="auto"/>
        <w:ind w:left="360" w:firstLine="709"/>
        <w:jc w:val="both"/>
        <w:textAlignment w:val="baseline"/>
        <w:rPr>
          <w:rFonts w:ascii="Times New Roman" w:eastAsia="Times New Roman" w:hAnsi="Times New Roman" w:cs="Times New Roman"/>
          <w:b/>
          <w:spacing w:val="-8"/>
          <w:sz w:val="24"/>
          <w:szCs w:val="24"/>
          <w:lang w:eastAsia="ru-RU"/>
        </w:rPr>
      </w:pPr>
      <w:r w:rsidRPr="0028121E">
        <w:rPr>
          <w:rFonts w:ascii="Times New Roman" w:eastAsia="Times New Roman" w:hAnsi="Times New Roman" w:cs="Times New Roman"/>
          <w:b/>
          <w:spacing w:val="-8"/>
          <w:sz w:val="24"/>
          <w:szCs w:val="24"/>
          <w:lang w:eastAsia="ru-RU"/>
        </w:rPr>
        <w:t>Инструменты Федеральной резервной системы в регулировании денежной массы</w:t>
      </w:r>
    </w:p>
    <w:p w:rsidR="00EA4E71" w:rsidRPr="0028121E" w:rsidRDefault="00EA4E71" w:rsidP="0028121E">
      <w:pPr>
        <w:shd w:val="clear" w:color="auto" w:fill="FFFFFF"/>
        <w:spacing w:after="0" w:line="240" w:lineRule="auto"/>
        <w:ind w:left="360" w:firstLine="709"/>
        <w:jc w:val="both"/>
        <w:textAlignment w:val="baseline"/>
        <w:rPr>
          <w:rFonts w:ascii="Times New Roman" w:eastAsia="Times New Roman" w:hAnsi="Times New Roman" w:cs="Times New Roman"/>
          <w:b/>
          <w:sz w:val="24"/>
          <w:szCs w:val="24"/>
          <w:lang w:eastAsia="ru-RU"/>
        </w:rPr>
      </w:pPr>
    </w:p>
    <w:p w:rsidR="00EA4E71" w:rsidRPr="0028121E" w:rsidRDefault="00EA4E71" w:rsidP="0028121E">
      <w:pPr>
        <w:shd w:val="clear" w:color="auto" w:fill="FFFFFF"/>
        <w:spacing w:after="0" w:line="240" w:lineRule="auto"/>
        <w:ind w:firstLine="709"/>
        <w:jc w:val="both"/>
        <w:textAlignment w:val="baseline"/>
        <w:outlineLvl w:val="1"/>
        <w:rPr>
          <w:rFonts w:ascii="Times New Roman" w:eastAsia="Times New Roman" w:hAnsi="Times New Roman" w:cs="Times New Roman"/>
          <w:b/>
          <w:spacing w:val="-8"/>
          <w:sz w:val="24"/>
          <w:szCs w:val="24"/>
          <w:lang w:eastAsia="ru-RU"/>
        </w:rPr>
      </w:pPr>
      <w:r w:rsidRPr="0028121E">
        <w:rPr>
          <w:rFonts w:ascii="Times New Roman" w:eastAsia="Times New Roman" w:hAnsi="Times New Roman" w:cs="Times New Roman"/>
          <w:b/>
          <w:spacing w:val="-8"/>
          <w:sz w:val="24"/>
          <w:szCs w:val="24"/>
          <w:lang w:eastAsia="ru-RU"/>
        </w:rPr>
        <w:t>Коэффициент резервирования</w:t>
      </w:r>
    </w:p>
    <w:p w:rsidR="00EA4E71" w:rsidRPr="0028121E" w:rsidRDefault="00EA4E71" w:rsidP="0028121E">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28121E">
        <w:rPr>
          <w:rFonts w:ascii="Times New Roman" w:eastAsia="Times New Roman" w:hAnsi="Times New Roman" w:cs="Times New Roman"/>
          <w:sz w:val="24"/>
          <w:szCs w:val="24"/>
          <w:lang w:eastAsia="ru-RU"/>
        </w:rPr>
        <w:t xml:space="preserve">Изменение коэффициента резервирования используется редко, но потенциально может иметь очень большое значение.Норма резервирования – это процент резервов, которые банк должен держать под депозиты.Уменьшение коэффициента позволяет банку </w:t>
      </w:r>
      <w:r w:rsidRPr="0028121E">
        <w:rPr>
          <w:rFonts w:ascii="Times New Roman" w:eastAsia="Times New Roman" w:hAnsi="Times New Roman" w:cs="Times New Roman"/>
          <w:sz w:val="24"/>
          <w:szCs w:val="24"/>
          <w:lang w:eastAsia="ru-RU"/>
        </w:rPr>
        <w:lastRenderedPageBreak/>
        <w:t>выдавать больше кредитов, увеличивая тем самым денежную массу.Увеличение соотношения имеет противоположный эффект.</w:t>
      </w:r>
      <w:r w:rsidRPr="0028121E">
        <w:rPr>
          <w:rFonts w:ascii="Tahoma" w:eastAsia="Times New Roman" w:hAnsi="Tahoma" w:cs="Times New Roman"/>
          <w:sz w:val="24"/>
          <w:szCs w:val="24"/>
          <w:lang w:eastAsia="ru-RU"/>
        </w:rPr>
        <w:t>﻿</w:t>
      </w:r>
    </w:p>
    <w:p w:rsidR="00EA4E71" w:rsidRPr="0028121E" w:rsidRDefault="00EA4E71" w:rsidP="0028121E">
      <w:pPr>
        <w:shd w:val="clear" w:color="auto" w:fill="FFFFFF"/>
        <w:spacing w:after="0" w:line="240" w:lineRule="auto"/>
        <w:ind w:firstLine="709"/>
        <w:jc w:val="both"/>
        <w:textAlignment w:val="baseline"/>
        <w:outlineLvl w:val="1"/>
        <w:rPr>
          <w:rFonts w:ascii="Times New Roman" w:eastAsia="Times New Roman" w:hAnsi="Times New Roman" w:cs="Times New Roman"/>
          <w:b/>
          <w:spacing w:val="-8"/>
          <w:sz w:val="24"/>
          <w:szCs w:val="24"/>
          <w:lang w:eastAsia="ru-RU"/>
        </w:rPr>
      </w:pPr>
      <w:r w:rsidRPr="0028121E">
        <w:rPr>
          <w:rFonts w:ascii="Times New Roman" w:eastAsia="Times New Roman" w:hAnsi="Times New Roman" w:cs="Times New Roman"/>
          <w:b/>
          <w:spacing w:val="-8"/>
          <w:sz w:val="24"/>
          <w:szCs w:val="24"/>
          <w:lang w:eastAsia="ru-RU"/>
        </w:rPr>
        <w:t>Учетная ставка</w:t>
      </w:r>
    </w:p>
    <w:p w:rsidR="00EA4E71" w:rsidRPr="0028121E" w:rsidRDefault="00EA4E71" w:rsidP="0028121E">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28121E">
        <w:rPr>
          <w:rFonts w:ascii="Times New Roman" w:eastAsia="Times New Roman" w:hAnsi="Times New Roman" w:cs="Times New Roman"/>
          <w:sz w:val="24"/>
          <w:szCs w:val="24"/>
          <w:lang w:eastAsia="ru-RU"/>
        </w:rPr>
        <w:t>Учетная ставка – это процентная ставка, которую ФРС взимает с коммерческих банков, которым необходимо заимствовать дополнительные резервы.ФРС устанавливает эту ставку, а не рыночную.Во многом его важность проистекает из сигнала, который посылает ФРС при повышении или понижении ставки: если она низкая, ФРС хочет стимулировать расходы и наоборот.</w:t>
      </w:r>
      <w:r w:rsidRPr="0028121E">
        <w:rPr>
          <w:rFonts w:ascii="Tahoma" w:eastAsia="Times New Roman" w:hAnsi="Tahoma" w:cs="Times New Roman"/>
          <w:sz w:val="24"/>
          <w:szCs w:val="24"/>
          <w:lang w:eastAsia="ru-RU"/>
        </w:rPr>
        <w:t>﻿</w:t>
      </w:r>
    </w:p>
    <w:p w:rsidR="00EA4E71" w:rsidRPr="0028121E" w:rsidRDefault="00EA4E71" w:rsidP="0028121E">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28121E">
        <w:rPr>
          <w:rFonts w:ascii="Times New Roman" w:eastAsia="Times New Roman" w:hAnsi="Times New Roman" w:cs="Times New Roman"/>
          <w:sz w:val="24"/>
          <w:szCs w:val="24"/>
          <w:lang w:eastAsia="ru-RU"/>
        </w:rPr>
        <w:t>В результате краткосрочные рыночные процентные ставки имеют тенденцию следовать за движением учетной ставки. Если ФРС хочет предоставить банкам больше резервов, она может снизить процентную ставку, которую она взимает, тем самым побуждая банки брать больше займов. В качестве альтернативы он может поглотить резервы, повысив свою ставку и убедив банки сократить заимствования.</w:t>
      </w:r>
    </w:p>
    <w:p w:rsidR="00EA4E71" w:rsidRPr="0028121E" w:rsidRDefault="00EA4E71" w:rsidP="0028121E">
      <w:pPr>
        <w:shd w:val="clear" w:color="auto" w:fill="FFFFFF"/>
        <w:spacing w:after="0" w:line="240" w:lineRule="auto"/>
        <w:ind w:firstLine="709"/>
        <w:jc w:val="both"/>
        <w:textAlignment w:val="baseline"/>
        <w:outlineLvl w:val="1"/>
        <w:rPr>
          <w:rFonts w:ascii="Times New Roman" w:eastAsia="Times New Roman" w:hAnsi="Times New Roman" w:cs="Times New Roman"/>
          <w:b/>
          <w:spacing w:val="-8"/>
          <w:sz w:val="24"/>
          <w:szCs w:val="24"/>
          <w:lang w:eastAsia="ru-RU"/>
        </w:rPr>
      </w:pPr>
      <w:r w:rsidRPr="0028121E">
        <w:rPr>
          <w:rFonts w:ascii="Times New Roman" w:eastAsia="Times New Roman" w:hAnsi="Times New Roman" w:cs="Times New Roman"/>
          <w:b/>
          <w:spacing w:val="-8"/>
          <w:sz w:val="24"/>
          <w:szCs w:val="24"/>
          <w:lang w:eastAsia="ru-RU"/>
        </w:rPr>
        <w:t>Операции на открытом рынке</w:t>
      </w:r>
    </w:p>
    <w:p w:rsidR="00EA4E71" w:rsidRPr="0028121E" w:rsidRDefault="00EA4E71" w:rsidP="0028121E">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28121E">
        <w:rPr>
          <w:rFonts w:ascii="Times New Roman" w:eastAsia="Times New Roman" w:hAnsi="Times New Roman" w:cs="Times New Roman"/>
          <w:sz w:val="24"/>
          <w:szCs w:val="24"/>
          <w:lang w:eastAsia="ru-RU"/>
        </w:rPr>
        <w:t>Операции на открытом рынке состоят из покупки и продажи </w:t>
      </w:r>
      <w:r w:rsidRPr="00777832">
        <w:rPr>
          <w:rFonts w:ascii="Times New Roman" w:eastAsia="Times New Roman" w:hAnsi="Times New Roman" w:cs="Times New Roman"/>
          <w:sz w:val="24"/>
          <w:szCs w:val="24"/>
          <w:lang w:eastAsia="ru-RU"/>
        </w:rPr>
        <w:t>государственных ценных бумаг ФРС.Если ФРС выкупает ценные бумаги (например, казначейские векселя</w:t>
      </w:r>
      <w:r w:rsidRPr="0028121E">
        <w:rPr>
          <w:rFonts w:ascii="Times New Roman" w:eastAsia="Times New Roman" w:hAnsi="Times New Roman" w:cs="Times New Roman"/>
          <w:sz w:val="24"/>
          <w:szCs w:val="24"/>
          <w:lang w:eastAsia="ru-RU"/>
        </w:rPr>
        <w:t> ) у крупных банков и дилеров по ценным бумагам, это увеличивает денежную массу в руках населения.И наоборот, денежная масса уменьшается, когда ФРС продает ценную бумагу.Термины «покупка» и «продажа» относятся к действиям ФРС, а не общественности.</w:t>
      </w:r>
      <w:r w:rsidRPr="0028121E">
        <w:rPr>
          <w:rFonts w:ascii="Tahoma" w:eastAsia="Times New Roman" w:hAnsi="Tahoma" w:cs="Times New Roman"/>
          <w:sz w:val="24"/>
          <w:szCs w:val="24"/>
          <w:lang w:eastAsia="ru-RU"/>
        </w:rPr>
        <w:t>﻿</w:t>
      </w:r>
    </w:p>
    <w:p w:rsidR="00EA4E71" w:rsidRPr="0028121E" w:rsidRDefault="00EA4E71" w:rsidP="0028121E">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28121E">
        <w:rPr>
          <w:rFonts w:ascii="Times New Roman" w:eastAsia="Times New Roman" w:hAnsi="Times New Roman" w:cs="Times New Roman"/>
          <w:sz w:val="24"/>
          <w:szCs w:val="24"/>
          <w:lang w:eastAsia="ru-RU"/>
        </w:rPr>
        <w:t>Например, покупка на открытом рынке означает, что ФРС покупает, а публика продает. Фактически, ФРС проводит операции на открытом рынке только с крупнейшими дилерами по ценным бумагам и банками страны, а не с населением. В случае покупки ценных бумаг ФРС на открытом рынке для </w:t>
      </w:r>
      <w:r w:rsidRPr="00577523">
        <w:rPr>
          <w:rFonts w:ascii="Times New Roman" w:eastAsia="Times New Roman" w:hAnsi="Times New Roman" w:cs="Times New Roman"/>
          <w:sz w:val="24"/>
          <w:szCs w:val="24"/>
          <w:lang w:eastAsia="ru-RU"/>
        </w:rPr>
        <w:t>продавца</w:t>
      </w:r>
      <w:r w:rsidRPr="0028121E">
        <w:rPr>
          <w:rFonts w:ascii="Times New Roman" w:eastAsia="Times New Roman" w:hAnsi="Times New Roman" w:cs="Times New Roman"/>
          <w:sz w:val="24"/>
          <w:szCs w:val="24"/>
          <w:lang w:eastAsia="ru-RU"/>
        </w:rPr>
        <w:t xml:space="preserve"> ценных бумаг более реалистично получить чек, выписанный на сам Фед. Когда продавец кладет это в свой банк, банку автоматически предоставляется увеличенный резервный баланс в ФРС. Таким образом, новые резервы можно использовать для поддержки дополнительных займов. Благодаря этому процессу денежная масса увеличивается. </w:t>
      </w:r>
    </w:p>
    <w:p w:rsidR="00EA4E71" w:rsidRPr="0028121E" w:rsidRDefault="00EA4E71" w:rsidP="0028121E">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28121E">
        <w:rPr>
          <w:rFonts w:ascii="Times New Roman" w:eastAsia="Times New Roman" w:hAnsi="Times New Roman" w:cs="Times New Roman"/>
          <w:sz w:val="24"/>
          <w:szCs w:val="24"/>
          <w:lang w:eastAsia="ru-RU"/>
        </w:rPr>
        <w:t>На этом процесс не заканчивается. Денежно-кредитная экспансия после операции на открытом рынке требует корректировок со стороны банков и населения. Банк, в который депонирован первоначальный чек от ФРС, теперь имеет коэффициент резервирования, который может быть слишком высоким. Другими словами, его резервы и депозиты выросли на ту же величину. Таким образом, соотношение резервов к депозитам увеличилось. Чтобы уменьшить это соотношение резервов к депозитам, банк может предоставлять больше кредитов.</w:t>
      </w:r>
    </w:p>
    <w:p w:rsidR="00EA4E71" w:rsidRPr="0028121E" w:rsidRDefault="00EA4E71" w:rsidP="0028121E">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28121E">
        <w:rPr>
          <w:rFonts w:ascii="Times New Roman" w:eastAsia="Times New Roman" w:hAnsi="Times New Roman" w:cs="Times New Roman"/>
          <w:sz w:val="24"/>
          <w:szCs w:val="24"/>
          <w:lang w:eastAsia="ru-RU"/>
        </w:rPr>
        <w:t>Когда банк предоставляет дополнительную ссуду, лицо, получающее ссуду, получает банковский депозит, увеличивая денежную массу больше, чем сумма операции на открытом рынке. Это многократное увеличение денежной массы называется  </w:t>
      </w:r>
      <w:hyperlink r:id="rId6" w:history="1">
        <w:r w:rsidRPr="0028121E">
          <w:rPr>
            <w:rFonts w:ascii="Times New Roman" w:eastAsia="Times New Roman" w:hAnsi="Times New Roman" w:cs="Times New Roman"/>
            <w:sz w:val="24"/>
            <w:szCs w:val="24"/>
            <w:lang w:eastAsia="ru-RU"/>
          </w:rPr>
          <w:t> эффектом </w:t>
        </w:r>
      </w:hyperlink>
      <w:r w:rsidRPr="0028121E">
        <w:rPr>
          <w:rFonts w:ascii="Times New Roman" w:eastAsia="Times New Roman" w:hAnsi="Times New Roman" w:cs="Times New Roman"/>
          <w:sz w:val="24"/>
          <w:szCs w:val="24"/>
          <w:lang w:eastAsia="ru-RU"/>
        </w:rPr>
        <w:t>мультипликатора. </w:t>
      </w:r>
    </w:p>
    <w:p w:rsidR="00EA4E71" w:rsidRPr="0028121E" w:rsidRDefault="00EA4E71" w:rsidP="0028121E">
      <w:pPr>
        <w:shd w:val="clear" w:color="auto" w:fill="FFFFFF"/>
        <w:spacing w:after="0" w:line="240" w:lineRule="auto"/>
        <w:ind w:firstLine="709"/>
        <w:jc w:val="both"/>
        <w:textAlignment w:val="baseline"/>
        <w:outlineLvl w:val="1"/>
        <w:rPr>
          <w:rFonts w:ascii="Times New Roman" w:eastAsia="Times New Roman" w:hAnsi="Times New Roman" w:cs="Times New Roman"/>
          <w:spacing w:val="-8"/>
          <w:sz w:val="24"/>
          <w:szCs w:val="24"/>
          <w:lang w:eastAsia="ru-RU"/>
        </w:rPr>
      </w:pPr>
    </w:p>
    <w:p w:rsidR="00EA4E71" w:rsidRPr="0028121E" w:rsidRDefault="00EA4E71" w:rsidP="0028121E">
      <w:pPr>
        <w:shd w:val="clear" w:color="auto" w:fill="FFFFFF"/>
        <w:spacing w:after="0" w:line="240" w:lineRule="auto"/>
        <w:ind w:firstLine="709"/>
        <w:jc w:val="both"/>
        <w:textAlignment w:val="baseline"/>
        <w:outlineLvl w:val="1"/>
        <w:rPr>
          <w:rFonts w:ascii="Times New Roman" w:eastAsia="Times New Roman" w:hAnsi="Times New Roman" w:cs="Times New Roman"/>
          <w:spacing w:val="-8"/>
          <w:sz w:val="24"/>
          <w:szCs w:val="24"/>
          <w:lang w:eastAsia="ru-RU"/>
        </w:rPr>
      </w:pPr>
    </w:p>
    <w:p w:rsidR="00353AC8" w:rsidRPr="0028121E" w:rsidRDefault="00353AC8" w:rsidP="0028121E">
      <w:pPr>
        <w:spacing w:after="0" w:line="240" w:lineRule="auto"/>
        <w:ind w:firstLine="709"/>
        <w:jc w:val="both"/>
        <w:rPr>
          <w:rFonts w:ascii="Times New Roman" w:hAnsi="Times New Roman" w:cs="Times New Roman"/>
          <w:sz w:val="24"/>
          <w:szCs w:val="24"/>
        </w:rPr>
      </w:pPr>
    </w:p>
    <w:sectPr w:rsidR="00353AC8" w:rsidRPr="0028121E" w:rsidSect="00353AC8">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20B6" w:rsidRDefault="007A20B6" w:rsidP="002E5C3A">
      <w:pPr>
        <w:spacing w:after="0" w:line="240" w:lineRule="auto"/>
      </w:pPr>
      <w:r>
        <w:separator/>
      </w:r>
    </w:p>
  </w:endnote>
  <w:endnote w:type="continuationSeparator" w:id="1">
    <w:p w:rsidR="007A20B6" w:rsidRDefault="007A20B6" w:rsidP="002E5C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20B6" w:rsidRDefault="007A20B6" w:rsidP="002E5C3A">
      <w:pPr>
        <w:spacing w:after="0" w:line="240" w:lineRule="auto"/>
      </w:pPr>
      <w:r>
        <w:separator/>
      </w:r>
    </w:p>
  </w:footnote>
  <w:footnote w:type="continuationSeparator" w:id="1">
    <w:p w:rsidR="007A20B6" w:rsidRDefault="007A20B6" w:rsidP="002E5C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C3A" w:rsidRPr="002E5C3A" w:rsidRDefault="002E5C3A" w:rsidP="002E5C3A">
    <w:pPr>
      <w:pStyle w:val="a3"/>
      <w:jc w:val="right"/>
      <w:rPr>
        <w:rFonts w:ascii="Times New Roman" w:hAnsi="Times New Roman" w:cs="Times New Roman"/>
        <w:sz w:val="24"/>
        <w:szCs w:val="24"/>
      </w:rPr>
    </w:pPr>
    <w:r w:rsidRPr="002E5C3A">
      <w:rPr>
        <w:rFonts w:ascii="Times New Roman" w:hAnsi="Times New Roman" w:cs="Times New Roman"/>
        <w:sz w:val="24"/>
        <w:szCs w:val="24"/>
      </w:rPr>
      <w:t>ПРИЛОЖЕНИЕ 9</w:t>
    </w:r>
  </w:p>
  <w:p w:rsidR="002E5C3A" w:rsidRDefault="002E5C3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55636"/>
    <w:rsid w:val="00055636"/>
    <w:rsid w:val="0028121E"/>
    <w:rsid w:val="002E5C3A"/>
    <w:rsid w:val="00353AC8"/>
    <w:rsid w:val="00577523"/>
    <w:rsid w:val="00777832"/>
    <w:rsid w:val="007A20B6"/>
    <w:rsid w:val="00CE2B1F"/>
    <w:rsid w:val="00EA2250"/>
    <w:rsid w:val="00EA4E71"/>
    <w:rsid w:val="00F739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6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5C3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E5C3A"/>
  </w:style>
  <w:style w:type="paragraph" w:styleId="a5">
    <w:name w:val="footer"/>
    <w:basedOn w:val="a"/>
    <w:link w:val="a6"/>
    <w:uiPriority w:val="99"/>
    <w:semiHidden/>
    <w:unhideWhenUsed/>
    <w:rsid w:val="002E5C3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2E5C3A"/>
  </w:style>
  <w:style w:type="paragraph" w:styleId="a7">
    <w:name w:val="Balloon Text"/>
    <w:basedOn w:val="a"/>
    <w:link w:val="a8"/>
    <w:uiPriority w:val="99"/>
    <w:semiHidden/>
    <w:unhideWhenUsed/>
    <w:rsid w:val="002E5C3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E5C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esrakonk.ru/multipliereffec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858</Words>
  <Characters>4891</Characters>
  <Application>Microsoft Office Word</Application>
  <DocSecurity>0</DocSecurity>
  <Lines>40</Lines>
  <Paragraphs>11</Paragraphs>
  <ScaleCrop>false</ScaleCrop>
  <Company/>
  <LinksUpToDate>false</LinksUpToDate>
  <CharactersWithSpaces>5738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7</cp:revision>
  <dcterms:created xsi:type="dcterms:W3CDTF">2022-11-12T03:39:00Z</dcterms:created>
  <dcterms:modified xsi:type="dcterms:W3CDTF">2022-11-12T14:38:00Z</dcterms:modified>
</cp:coreProperties>
</file>