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36" w:rsidRPr="0028121E" w:rsidRDefault="00055636" w:rsidP="002E5C3A">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6"/>
          <w:sz w:val="24"/>
          <w:szCs w:val="24"/>
          <w:lang w:eastAsia="ru-RU"/>
        </w:rPr>
      </w:pPr>
      <w:r w:rsidRPr="0028121E">
        <w:rPr>
          <w:rFonts w:ascii="Times New Roman" w:eastAsia="Times New Roman" w:hAnsi="Times New Roman" w:cs="Times New Roman"/>
          <w:b/>
          <w:sz w:val="24"/>
          <w:szCs w:val="24"/>
          <w:lang w:eastAsia="ru-RU"/>
        </w:rPr>
        <w:t>Методы Китая для управления своей денежной массой</w:t>
      </w:r>
    </w:p>
    <w:p w:rsidR="00055636" w:rsidRPr="0028121E" w:rsidRDefault="00055636"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055636" w:rsidRPr="0028121E" w:rsidRDefault="00055636" w:rsidP="0028121E">
      <w:pPr>
        <w:shd w:val="clear" w:color="auto" w:fill="FFFFFF"/>
        <w:spacing w:after="0" w:line="240" w:lineRule="auto"/>
        <w:ind w:firstLine="709"/>
        <w:jc w:val="both"/>
        <w:textAlignment w:val="baseline"/>
        <w:outlineLvl w:val="2"/>
        <w:rPr>
          <w:rFonts w:ascii="Times New Roman" w:eastAsia="Times New Roman" w:hAnsi="Times New Roman" w:cs="Times New Roman"/>
          <w:b/>
          <w:spacing w:val="-6"/>
          <w:sz w:val="24"/>
          <w:szCs w:val="24"/>
          <w:lang w:eastAsia="ru-RU"/>
        </w:rPr>
      </w:pPr>
      <w:r w:rsidRPr="0028121E">
        <w:rPr>
          <w:rFonts w:ascii="Times New Roman" w:eastAsia="Times New Roman" w:hAnsi="Times New Roman" w:cs="Times New Roman"/>
          <w:b/>
          <w:spacing w:val="-6"/>
          <w:sz w:val="24"/>
          <w:szCs w:val="24"/>
          <w:lang w:eastAsia="ru-RU"/>
        </w:rPr>
        <w:t>Контроль курсов Forex </w:t>
      </w:r>
    </w:p>
    <w:p w:rsidR="00055636" w:rsidRPr="0028121E" w:rsidRDefault="00055636"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Одной из основных задач китайского центрального банка, НБК, является поглощение большого притока иностранного капитала за счет положительного сальдо торгового баланса Китая. НБК покупает иностранную валюту у экспортеров и выпускает эту валюту в местных юанях. НБК может публиковать любую сумму в местной валюте и обменивать ее на форекс.</w:t>
      </w:r>
    </w:p>
    <w:p w:rsidR="00055636" w:rsidRPr="0028121E" w:rsidRDefault="00055636"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Публикация банкнот в местной валюте гарантирует, что курсы валют остаются фиксированными или находятся в узком диапазоне. Это гарантирует, что китайский экспорт остается более дешевым, а Китай сохраняет свои преимущества как производственная, ориентированная на экспорт экономика. Прежде всего, Китай жестко контролирует поступающие в страну иностранные деньги, что влияет на его денежную массу.</w:t>
      </w:r>
    </w:p>
    <w:p w:rsidR="00055636" w:rsidRPr="0028121E" w:rsidRDefault="00055636" w:rsidP="0028121E">
      <w:pPr>
        <w:shd w:val="clear" w:color="auto" w:fill="FFFFFF"/>
        <w:spacing w:after="0" w:line="240" w:lineRule="auto"/>
        <w:ind w:firstLine="709"/>
        <w:jc w:val="both"/>
        <w:textAlignment w:val="baseline"/>
        <w:outlineLvl w:val="2"/>
        <w:rPr>
          <w:rFonts w:ascii="Times New Roman" w:eastAsia="Times New Roman" w:hAnsi="Times New Roman" w:cs="Times New Roman"/>
          <w:b/>
          <w:spacing w:val="-6"/>
          <w:sz w:val="24"/>
          <w:szCs w:val="24"/>
          <w:lang w:eastAsia="ru-RU"/>
        </w:rPr>
      </w:pPr>
      <w:r w:rsidRPr="0028121E">
        <w:rPr>
          <w:rFonts w:ascii="Times New Roman" w:eastAsia="Times New Roman" w:hAnsi="Times New Roman" w:cs="Times New Roman"/>
          <w:b/>
          <w:spacing w:val="-6"/>
          <w:sz w:val="24"/>
          <w:szCs w:val="24"/>
          <w:lang w:eastAsia="ru-RU"/>
        </w:rPr>
        <w:t>Стерилизация </w:t>
      </w:r>
    </w:p>
    <w:p w:rsidR="00055636" w:rsidRPr="0028121E" w:rsidRDefault="00055636"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Китай применяет различные меры по </w:t>
      </w:r>
      <w:r w:rsidRPr="0028121E">
        <w:rPr>
          <w:rFonts w:ascii="Times New Roman" w:eastAsia="Times New Roman" w:hAnsi="Times New Roman" w:cs="Times New Roman"/>
          <w:sz w:val="24"/>
          <w:szCs w:val="24"/>
          <w:u w:val="single"/>
          <w:lang w:eastAsia="ru-RU"/>
        </w:rPr>
        <w:t>стерилизации</w:t>
      </w:r>
      <w:r w:rsidRPr="0028121E">
        <w:rPr>
          <w:rFonts w:ascii="Times New Roman" w:eastAsia="Times New Roman" w:hAnsi="Times New Roman" w:cs="Times New Roman"/>
          <w:sz w:val="24"/>
          <w:szCs w:val="24"/>
          <w:lang w:eastAsia="ru-RU"/>
        </w:rPr>
        <w:t>, которые относятся к денежно-кредитным мерам, предпринимаемым НБК для ограничения воздействия на денежную массу постоянного притока и оттока капитала. Однако действия НБК могут привести к негативным последствиям. </w:t>
      </w:r>
    </w:p>
    <w:p w:rsidR="00055636" w:rsidRPr="0028121E" w:rsidRDefault="00055636"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Банк увеличивает предложение местной валюты на внутренних рынках, что увеличивает вероятность высокой инфляции. Чтобы сократить избыточную денежную массу, НБК продает необходимое количество облигаций в национальной валюте, что уносит излишки денежных средств с открытых рынков. НБК также покупает облигации в национальной валюте, чтобы при необходимости вливать наличные на рынки.</w:t>
      </w:r>
    </w:p>
    <w:p w:rsidR="00055636" w:rsidRPr="0028121E" w:rsidRDefault="00055636" w:rsidP="0028121E">
      <w:pPr>
        <w:shd w:val="clear" w:color="auto" w:fill="FFFFFF"/>
        <w:spacing w:after="0" w:line="240" w:lineRule="auto"/>
        <w:ind w:firstLine="709"/>
        <w:jc w:val="both"/>
        <w:textAlignment w:val="baseline"/>
        <w:outlineLvl w:val="2"/>
        <w:rPr>
          <w:rFonts w:ascii="Times New Roman" w:eastAsia="Times New Roman" w:hAnsi="Times New Roman" w:cs="Times New Roman"/>
          <w:b/>
          <w:spacing w:val="-6"/>
          <w:sz w:val="24"/>
          <w:szCs w:val="24"/>
          <w:lang w:eastAsia="ru-RU"/>
        </w:rPr>
      </w:pPr>
      <w:r w:rsidRPr="0028121E">
        <w:rPr>
          <w:rFonts w:ascii="Times New Roman" w:eastAsia="Times New Roman" w:hAnsi="Times New Roman" w:cs="Times New Roman"/>
          <w:b/>
          <w:spacing w:val="-6"/>
          <w:sz w:val="24"/>
          <w:szCs w:val="24"/>
          <w:lang w:eastAsia="ru-RU"/>
        </w:rPr>
        <w:t>Печать валюты</w:t>
      </w:r>
    </w:p>
    <w:p w:rsidR="00055636" w:rsidRPr="0028121E" w:rsidRDefault="00055636" w:rsidP="0028121E">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28121E">
        <w:rPr>
          <w:rFonts w:ascii="Times New Roman" w:eastAsia="Times New Roman" w:hAnsi="Times New Roman" w:cs="Times New Roman"/>
          <w:sz w:val="24"/>
          <w:szCs w:val="24"/>
          <w:lang w:eastAsia="ru-RU"/>
        </w:rPr>
        <w:t>Печать национальной валюты – еще одна мера, применяемая Китаем. НБК может печатать юань по мере необходимости, хотя это может привести к высокой инфляции. Однако в Китае существует жесткий государственный контроль над своей экономикой, что позволяет ему контролировать инфляцию иначе, чем в других странах. В Китае вносятся изменения в субсидии и другие меры регулирования цен для сдерживания инфляции</w:t>
      </w:r>
      <w:r w:rsidRPr="0028121E">
        <w:rPr>
          <w:rFonts w:ascii="Times New Roman" w:eastAsia="Times New Roman" w:hAnsi="Times New Roman" w:cs="Times New Roman"/>
          <w:b/>
          <w:sz w:val="24"/>
          <w:szCs w:val="24"/>
          <w:lang w:eastAsia="ru-RU"/>
        </w:rPr>
        <w:t>.</w:t>
      </w:r>
    </w:p>
    <w:p w:rsidR="00055636" w:rsidRPr="0028121E" w:rsidRDefault="00055636" w:rsidP="0028121E">
      <w:pPr>
        <w:shd w:val="clear" w:color="auto" w:fill="FFFFFF"/>
        <w:spacing w:after="0" w:line="240" w:lineRule="auto"/>
        <w:ind w:firstLine="709"/>
        <w:jc w:val="both"/>
        <w:textAlignment w:val="baseline"/>
        <w:outlineLvl w:val="2"/>
        <w:rPr>
          <w:rFonts w:ascii="Times New Roman" w:eastAsia="Times New Roman" w:hAnsi="Times New Roman" w:cs="Times New Roman"/>
          <w:b/>
          <w:spacing w:val="-6"/>
          <w:sz w:val="24"/>
          <w:szCs w:val="24"/>
          <w:lang w:eastAsia="ru-RU"/>
        </w:rPr>
      </w:pPr>
      <w:r w:rsidRPr="0028121E">
        <w:rPr>
          <w:rFonts w:ascii="Times New Roman" w:eastAsia="Times New Roman" w:hAnsi="Times New Roman" w:cs="Times New Roman"/>
          <w:b/>
          <w:spacing w:val="-6"/>
          <w:sz w:val="24"/>
          <w:szCs w:val="24"/>
          <w:lang w:eastAsia="ru-RU"/>
        </w:rPr>
        <w:t>Коэффициент резервирования</w:t>
      </w:r>
    </w:p>
    <w:p w:rsidR="00055636" w:rsidRPr="0028121E" w:rsidRDefault="00055636"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Коммерческие банки обязаны хранить процент от общей суммы депозита в центральном банке страны, который известен как коэффициент  </w:t>
      </w:r>
      <w:r w:rsidRPr="0028121E">
        <w:rPr>
          <w:rFonts w:ascii="Times New Roman" w:eastAsia="Times New Roman" w:hAnsi="Times New Roman" w:cs="Times New Roman"/>
          <w:sz w:val="24"/>
          <w:szCs w:val="24"/>
          <w:u w:val="single"/>
          <w:lang w:eastAsia="ru-RU"/>
        </w:rPr>
        <w:t>резервирования</w:t>
      </w:r>
      <w:r w:rsidRPr="0028121E">
        <w:rPr>
          <w:rFonts w:ascii="Times New Roman" w:eastAsia="Times New Roman" w:hAnsi="Times New Roman" w:cs="Times New Roman"/>
          <w:sz w:val="24"/>
          <w:szCs w:val="24"/>
          <w:lang w:eastAsia="ru-RU"/>
        </w:rPr>
        <w:t>.Если центральные банки уменьшают норму резервирования, коммерческие банки хранят меньше денег в качестве резерва и имеют больше денег, доступных для увеличения денежной массы (и наоборот).</w:t>
      </w:r>
      <w:r w:rsidRPr="0028121E">
        <w:rPr>
          <w:rFonts w:ascii="Tahoma" w:eastAsia="Times New Roman" w:hAnsi="Tahoma" w:cs="Times New Roman"/>
          <w:sz w:val="24"/>
          <w:szCs w:val="24"/>
          <w:lang w:eastAsia="ru-RU"/>
        </w:rPr>
        <w:t>﻿</w:t>
      </w:r>
    </w:p>
    <w:p w:rsidR="00055636" w:rsidRPr="0028121E" w:rsidRDefault="00055636" w:rsidP="0028121E">
      <w:pPr>
        <w:shd w:val="clear" w:color="auto" w:fill="FFFFFF"/>
        <w:spacing w:after="0" w:line="240" w:lineRule="auto"/>
        <w:ind w:firstLine="709"/>
        <w:jc w:val="both"/>
        <w:textAlignment w:val="baseline"/>
        <w:outlineLvl w:val="2"/>
        <w:rPr>
          <w:rFonts w:ascii="Times New Roman" w:eastAsia="Times New Roman" w:hAnsi="Times New Roman" w:cs="Times New Roman"/>
          <w:b/>
          <w:spacing w:val="-6"/>
          <w:sz w:val="24"/>
          <w:szCs w:val="24"/>
          <w:lang w:eastAsia="ru-RU"/>
        </w:rPr>
      </w:pPr>
      <w:r w:rsidRPr="0028121E">
        <w:rPr>
          <w:rFonts w:ascii="Times New Roman" w:eastAsia="Times New Roman" w:hAnsi="Times New Roman" w:cs="Times New Roman"/>
          <w:b/>
          <w:spacing w:val="-6"/>
          <w:sz w:val="24"/>
          <w:szCs w:val="24"/>
          <w:lang w:eastAsia="ru-RU"/>
        </w:rPr>
        <w:t>Ставка дисконтирования</w:t>
      </w:r>
    </w:p>
    <w:p w:rsidR="00055636" w:rsidRPr="0028121E" w:rsidRDefault="00055636"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Если коммерческие банки занимают дополнительные деньги у центральных банков, они выплачивают проценты на эту сумму в соответствии с применимой  </w:t>
      </w:r>
      <w:r w:rsidRPr="0028121E">
        <w:rPr>
          <w:rFonts w:ascii="Times New Roman" w:eastAsia="Times New Roman" w:hAnsi="Times New Roman" w:cs="Times New Roman"/>
          <w:sz w:val="24"/>
          <w:szCs w:val="24"/>
          <w:u w:val="single"/>
          <w:lang w:eastAsia="ru-RU"/>
        </w:rPr>
        <w:t>учетной ставкой</w:t>
      </w:r>
      <w:r w:rsidRPr="0028121E">
        <w:rPr>
          <w:rFonts w:ascii="Times New Roman" w:eastAsia="Times New Roman" w:hAnsi="Times New Roman" w:cs="Times New Roman"/>
          <w:sz w:val="24"/>
          <w:szCs w:val="24"/>
          <w:lang w:eastAsia="ru-RU"/>
        </w:rPr>
        <w:t>. Центральные банки могут изменять учетную ставку для увеличения или уменьшения стоимости таких заимствований, что в конечном итоге влияет на доступность денег на открытых рынках. За изменениями ставок дисконтирования широко следят по всему миру, чтобы контролировать денежную массу.</w:t>
      </w:r>
    </w:p>
    <w:p w:rsidR="00055636" w:rsidRPr="0028121E" w:rsidRDefault="00055636"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EA4E71" w:rsidRPr="0028121E" w:rsidRDefault="00EA4E71" w:rsidP="0028121E">
      <w:pPr>
        <w:shd w:val="clear" w:color="auto" w:fill="FFFFFF"/>
        <w:spacing w:after="0" w:line="240" w:lineRule="auto"/>
        <w:ind w:left="360" w:firstLine="709"/>
        <w:jc w:val="both"/>
        <w:textAlignment w:val="baseline"/>
        <w:rPr>
          <w:rFonts w:ascii="Times New Roman" w:eastAsia="Times New Roman" w:hAnsi="Times New Roman" w:cs="Times New Roman"/>
          <w:b/>
          <w:spacing w:val="-8"/>
          <w:sz w:val="24"/>
          <w:szCs w:val="24"/>
          <w:lang w:eastAsia="ru-RU"/>
        </w:rPr>
      </w:pPr>
      <w:r w:rsidRPr="0028121E">
        <w:rPr>
          <w:rFonts w:ascii="Times New Roman" w:eastAsia="Times New Roman" w:hAnsi="Times New Roman" w:cs="Times New Roman"/>
          <w:b/>
          <w:spacing w:val="-8"/>
          <w:sz w:val="24"/>
          <w:szCs w:val="24"/>
          <w:lang w:eastAsia="ru-RU"/>
        </w:rPr>
        <w:t>Инструменты Федеральной резервной системы в регулировании денежной массы</w:t>
      </w:r>
    </w:p>
    <w:p w:rsidR="00EA4E71" w:rsidRPr="0028121E" w:rsidRDefault="00EA4E71" w:rsidP="0028121E">
      <w:pPr>
        <w:shd w:val="clear" w:color="auto" w:fill="FFFFFF"/>
        <w:spacing w:after="0" w:line="240" w:lineRule="auto"/>
        <w:ind w:left="360" w:firstLine="709"/>
        <w:jc w:val="both"/>
        <w:textAlignment w:val="baseline"/>
        <w:rPr>
          <w:rFonts w:ascii="Times New Roman" w:eastAsia="Times New Roman" w:hAnsi="Times New Roman" w:cs="Times New Roman"/>
          <w:b/>
          <w:sz w:val="24"/>
          <w:szCs w:val="24"/>
          <w:lang w:eastAsia="ru-RU"/>
        </w:rPr>
      </w:pPr>
    </w:p>
    <w:p w:rsidR="00EA4E71" w:rsidRPr="0028121E" w:rsidRDefault="00EA4E71" w:rsidP="0028121E">
      <w:pPr>
        <w:shd w:val="clear" w:color="auto" w:fill="FFFFFF"/>
        <w:spacing w:after="0" w:line="240" w:lineRule="auto"/>
        <w:ind w:firstLine="709"/>
        <w:jc w:val="both"/>
        <w:textAlignment w:val="baseline"/>
        <w:outlineLvl w:val="1"/>
        <w:rPr>
          <w:rFonts w:ascii="Times New Roman" w:eastAsia="Times New Roman" w:hAnsi="Times New Roman" w:cs="Times New Roman"/>
          <w:b/>
          <w:spacing w:val="-8"/>
          <w:sz w:val="24"/>
          <w:szCs w:val="24"/>
          <w:lang w:eastAsia="ru-RU"/>
        </w:rPr>
      </w:pPr>
      <w:r w:rsidRPr="0028121E">
        <w:rPr>
          <w:rFonts w:ascii="Times New Roman" w:eastAsia="Times New Roman" w:hAnsi="Times New Roman" w:cs="Times New Roman"/>
          <w:b/>
          <w:spacing w:val="-8"/>
          <w:sz w:val="24"/>
          <w:szCs w:val="24"/>
          <w:lang w:eastAsia="ru-RU"/>
        </w:rPr>
        <w:t>Коэффициент резервирования</w:t>
      </w:r>
    </w:p>
    <w:p w:rsidR="00EA4E71" w:rsidRPr="0028121E" w:rsidRDefault="00EA4E71"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 xml:space="preserve">Изменение коэффициента резервирования используется редко, но потенциально может иметь очень большое значение.Норма резервирования – это процент резервов, которые банк должен держать под депозиты.Уменьшение коэффициента позволяет банку </w:t>
      </w:r>
      <w:r w:rsidRPr="0028121E">
        <w:rPr>
          <w:rFonts w:ascii="Times New Roman" w:eastAsia="Times New Roman" w:hAnsi="Times New Roman" w:cs="Times New Roman"/>
          <w:sz w:val="24"/>
          <w:szCs w:val="24"/>
          <w:lang w:eastAsia="ru-RU"/>
        </w:rPr>
        <w:lastRenderedPageBreak/>
        <w:t>выдавать больше кредитов, увеличивая тем самым денежную массу.Увеличение соотношения имеет противоположный эффект.</w:t>
      </w:r>
      <w:r w:rsidRPr="0028121E">
        <w:rPr>
          <w:rFonts w:ascii="Tahoma" w:eastAsia="Times New Roman" w:hAnsi="Tahoma" w:cs="Times New Roman"/>
          <w:sz w:val="24"/>
          <w:szCs w:val="24"/>
          <w:lang w:eastAsia="ru-RU"/>
        </w:rPr>
        <w:t>﻿</w:t>
      </w:r>
    </w:p>
    <w:p w:rsidR="00EA4E71" w:rsidRPr="0028121E" w:rsidRDefault="00EA4E71" w:rsidP="0028121E">
      <w:pPr>
        <w:shd w:val="clear" w:color="auto" w:fill="FFFFFF"/>
        <w:spacing w:after="0" w:line="240" w:lineRule="auto"/>
        <w:ind w:firstLine="709"/>
        <w:jc w:val="both"/>
        <w:textAlignment w:val="baseline"/>
        <w:outlineLvl w:val="1"/>
        <w:rPr>
          <w:rFonts w:ascii="Times New Roman" w:eastAsia="Times New Roman" w:hAnsi="Times New Roman" w:cs="Times New Roman"/>
          <w:b/>
          <w:spacing w:val="-8"/>
          <w:sz w:val="24"/>
          <w:szCs w:val="24"/>
          <w:lang w:eastAsia="ru-RU"/>
        </w:rPr>
      </w:pPr>
      <w:r w:rsidRPr="0028121E">
        <w:rPr>
          <w:rFonts w:ascii="Times New Roman" w:eastAsia="Times New Roman" w:hAnsi="Times New Roman" w:cs="Times New Roman"/>
          <w:b/>
          <w:spacing w:val="-8"/>
          <w:sz w:val="24"/>
          <w:szCs w:val="24"/>
          <w:lang w:eastAsia="ru-RU"/>
        </w:rPr>
        <w:t>Учетная ставка</w:t>
      </w:r>
    </w:p>
    <w:p w:rsidR="00EA4E71" w:rsidRPr="0028121E" w:rsidRDefault="00EA4E71"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Учетная ставка – это процентная ставка, которую ФРС взимает с коммерческих банков, которым необходимо заимствовать дополнительные резервы.ФРС устанавливает эту ставку, а не рыночную.Во многом его важность проистекает из сигнала, который посылает ФРС при повышении или понижении ставки: если она низкая, ФРС хочет стимулировать расходы и наоборот.</w:t>
      </w:r>
      <w:r w:rsidRPr="0028121E">
        <w:rPr>
          <w:rFonts w:ascii="Tahoma" w:eastAsia="Times New Roman" w:hAnsi="Tahoma" w:cs="Times New Roman"/>
          <w:sz w:val="24"/>
          <w:szCs w:val="24"/>
          <w:lang w:eastAsia="ru-RU"/>
        </w:rPr>
        <w:t>﻿</w:t>
      </w:r>
    </w:p>
    <w:p w:rsidR="00EA4E71" w:rsidRPr="0028121E" w:rsidRDefault="00EA4E71"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В результате краткосрочные рыночные процентные ставки имеют тенденцию следовать за движением учетной ставки. Если ФРС хочет предоставить банкам больше резервов, она может снизить процентную ставку, которую она взимает, тем самым побуждая банки брать больше займов. В качестве альтернативы он может поглотить резервы, повысив свою ставку и убедив банки сократить заимствования.</w:t>
      </w:r>
    </w:p>
    <w:p w:rsidR="00EA4E71" w:rsidRPr="0028121E" w:rsidRDefault="00EA4E71" w:rsidP="0028121E">
      <w:pPr>
        <w:shd w:val="clear" w:color="auto" w:fill="FFFFFF"/>
        <w:spacing w:after="0" w:line="240" w:lineRule="auto"/>
        <w:ind w:firstLine="709"/>
        <w:jc w:val="both"/>
        <w:textAlignment w:val="baseline"/>
        <w:outlineLvl w:val="1"/>
        <w:rPr>
          <w:rFonts w:ascii="Times New Roman" w:eastAsia="Times New Roman" w:hAnsi="Times New Roman" w:cs="Times New Roman"/>
          <w:b/>
          <w:spacing w:val="-8"/>
          <w:sz w:val="24"/>
          <w:szCs w:val="24"/>
          <w:lang w:eastAsia="ru-RU"/>
        </w:rPr>
      </w:pPr>
      <w:r w:rsidRPr="0028121E">
        <w:rPr>
          <w:rFonts w:ascii="Times New Roman" w:eastAsia="Times New Roman" w:hAnsi="Times New Roman" w:cs="Times New Roman"/>
          <w:b/>
          <w:spacing w:val="-8"/>
          <w:sz w:val="24"/>
          <w:szCs w:val="24"/>
          <w:lang w:eastAsia="ru-RU"/>
        </w:rPr>
        <w:t>Операции на открытом рынке</w:t>
      </w:r>
    </w:p>
    <w:p w:rsidR="00EA4E71" w:rsidRPr="0028121E" w:rsidRDefault="00EA4E71"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Операции на открытом рынке состоят из покупки и продажи </w:t>
      </w:r>
      <w:r w:rsidRPr="00777832">
        <w:rPr>
          <w:rFonts w:ascii="Times New Roman" w:eastAsia="Times New Roman" w:hAnsi="Times New Roman" w:cs="Times New Roman"/>
          <w:sz w:val="24"/>
          <w:szCs w:val="24"/>
          <w:lang w:eastAsia="ru-RU"/>
        </w:rPr>
        <w:t>государственных ценных бумаг ФРС.Если ФРС выкупает ценные бумаги (например, казначейские векселя</w:t>
      </w:r>
      <w:r w:rsidRPr="0028121E">
        <w:rPr>
          <w:rFonts w:ascii="Times New Roman" w:eastAsia="Times New Roman" w:hAnsi="Times New Roman" w:cs="Times New Roman"/>
          <w:sz w:val="24"/>
          <w:szCs w:val="24"/>
          <w:lang w:eastAsia="ru-RU"/>
        </w:rPr>
        <w:t> ) у крупных банков и дилеров по ценным бумагам, это увеличивает денежную массу в руках населения.И наоборот, денежная масса уменьшается, когда ФРС продает ценную бумагу.Термины «покупка» и «продажа» относятся к действиям ФРС, а не общественности.</w:t>
      </w:r>
      <w:r w:rsidRPr="0028121E">
        <w:rPr>
          <w:rFonts w:ascii="Tahoma" w:eastAsia="Times New Roman" w:hAnsi="Tahoma" w:cs="Times New Roman"/>
          <w:sz w:val="24"/>
          <w:szCs w:val="24"/>
          <w:lang w:eastAsia="ru-RU"/>
        </w:rPr>
        <w:t>﻿</w:t>
      </w:r>
    </w:p>
    <w:p w:rsidR="00EA4E71" w:rsidRPr="0028121E" w:rsidRDefault="00EA4E71"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Например, покупка на открытом рынке означает, что ФРС покупает, а публика продает. Фактически, ФРС проводит операции на открытом рынке только с крупнейшими дилерами по ценным бумагам и банками страны, а не с населением. В случае покупки ценных бумаг ФРС на открытом рынке для </w:t>
      </w:r>
      <w:r w:rsidRPr="00577523">
        <w:rPr>
          <w:rFonts w:ascii="Times New Roman" w:eastAsia="Times New Roman" w:hAnsi="Times New Roman" w:cs="Times New Roman"/>
          <w:sz w:val="24"/>
          <w:szCs w:val="24"/>
          <w:lang w:eastAsia="ru-RU"/>
        </w:rPr>
        <w:t>продавца</w:t>
      </w:r>
      <w:r w:rsidRPr="0028121E">
        <w:rPr>
          <w:rFonts w:ascii="Times New Roman" w:eastAsia="Times New Roman" w:hAnsi="Times New Roman" w:cs="Times New Roman"/>
          <w:sz w:val="24"/>
          <w:szCs w:val="24"/>
          <w:lang w:eastAsia="ru-RU"/>
        </w:rPr>
        <w:t xml:space="preserve"> ценных бумаг более реалистично получить чек, выписанный на сам Фед. Когда продавец кладет это в свой банк, банку автоматически предоставляется увеличенный резервный баланс в ФРС. Таким образом, новые резервы можно использовать для поддержки дополнительных займов. Благодаря этому процессу денежная масса увеличивается. </w:t>
      </w:r>
    </w:p>
    <w:p w:rsidR="00EA4E71" w:rsidRPr="0028121E" w:rsidRDefault="00EA4E71"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На этом процесс не заканчивается. Денежно-кредитная экспансия после операции на открытом рынке требует корректировок со стороны банков и населения. Банк, в который депонирован первоначальный чек от ФРС, теперь имеет коэффициент резервирования, который может быть слишком высоким. Другими словами, его резервы и депозиты выросли на ту же величину. Таким образом, соотношение резервов к депозитам увеличилось. Чтобы уменьшить это соотношение резервов к депозитам, банк может предоставлять больше кредитов.</w:t>
      </w:r>
    </w:p>
    <w:p w:rsidR="00EA4E71" w:rsidRPr="0028121E" w:rsidRDefault="00EA4E71" w:rsidP="002812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8121E">
        <w:rPr>
          <w:rFonts w:ascii="Times New Roman" w:eastAsia="Times New Roman" w:hAnsi="Times New Roman" w:cs="Times New Roman"/>
          <w:sz w:val="24"/>
          <w:szCs w:val="24"/>
          <w:lang w:eastAsia="ru-RU"/>
        </w:rPr>
        <w:t>Когда банк предоставляет дополнительную ссуду, лицо, получающее ссуду, получает банковский депозит, увеличивая денежную массу больше, чем сумма операции на открытом рынке. Это многократное увеличение денежной массы называется  </w:t>
      </w:r>
      <w:hyperlink r:id="rId6" w:history="1">
        <w:r w:rsidRPr="0028121E">
          <w:rPr>
            <w:rFonts w:ascii="Times New Roman" w:eastAsia="Times New Roman" w:hAnsi="Times New Roman" w:cs="Times New Roman"/>
            <w:sz w:val="24"/>
            <w:szCs w:val="24"/>
            <w:lang w:eastAsia="ru-RU"/>
          </w:rPr>
          <w:t> эффектом </w:t>
        </w:r>
      </w:hyperlink>
      <w:r w:rsidRPr="0028121E">
        <w:rPr>
          <w:rFonts w:ascii="Times New Roman" w:eastAsia="Times New Roman" w:hAnsi="Times New Roman" w:cs="Times New Roman"/>
          <w:sz w:val="24"/>
          <w:szCs w:val="24"/>
          <w:lang w:eastAsia="ru-RU"/>
        </w:rPr>
        <w:t>мультипликатора. </w:t>
      </w:r>
    </w:p>
    <w:p w:rsidR="00EA4E71" w:rsidRPr="0028121E" w:rsidRDefault="00EA4E71" w:rsidP="0028121E">
      <w:pPr>
        <w:shd w:val="clear" w:color="auto" w:fill="FFFFFF"/>
        <w:spacing w:after="0" w:line="240" w:lineRule="auto"/>
        <w:ind w:firstLine="709"/>
        <w:jc w:val="both"/>
        <w:textAlignment w:val="baseline"/>
        <w:outlineLvl w:val="1"/>
        <w:rPr>
          <w:rFonts w:ascii="Times New Roman" w:eastAsia="Times New Roman" w:hAnsi="Times New Roman" w:cs="Times New Roman"/>
          <w:spacing w:val="-8"/>
          <w:sz w:val="24"/>
          <w:szCs w:val="24"/>
          <w:lang w:eastAsia="ru-RU"/>
        </w:rPr>
      </w:pPr>
    </w:p>
    <w:p w:rsidR="00EA4E71" w:rsidRPr="0028121E" w:rsidRDefault="00EA4E71" w:rsidP="0028121E">
      <w:pPr>
        <w:shd w:val="clear" w:color="auto" w:fill="FFFFFF"/>
        <w:spacing w:after="0" w:line="240" w:lineRule="auto"/>
        <w:ind w:firstLine="709"/>
        <w:jc w:val="both"/>
        <w:textAlignment w:val="baseline"/>
        <w:outlineLvl w:val="1"/>
        <w:rPr>
          <w:rFonts w:ascii="Times New Roman" w:eastAsia="Times New Roman" w:hAnsi="Times New Roman" w:cs="Times New Roman"/>
          <w:spacing w:val="-8"/>
          <w:sz w:val="24"/>
          <w:szCs w:val="24"/>
          <w:lang w:eastAsia="ru-RU"/>
        </w:rPr>
      </w:pPr>
    </w:p>
    <w:p w:rsidR="00353AC8" w:rsidRPr="0028121E" w:rsidRDefault="00353AC8" w:rsidP="0028121E">
      <w:pPr>
        <w:spacing w:after="0" w:line="240" w:lineRule="auto"/>
        <w:ind w:firstLine="709"/>
        <w:jc w:val="both"/>
        <w:rPr>
          <w:rFonts w:ascii="Times New Roman" w:hAnsi="Times New Roman" w:cs="Times New Roman"/>
          <w:sz w:val="24"/>
          <w:szCs w:val="24"/>
        </w:rPr>
      </w:pPr>
    </w:p>
    <w:sectPr w:rsidR="00353AC8" w:rsidRPr="0028121E" w:rsidSect="00353A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0B6" w:rsidRDefault="007A20B6" w:rsidP="002E5C3A">
      <w:pPr>
        <w:spacing w:after="0" w:line="240" w:lineRule="auto"/>
      </w:pPr>
      <w:r>
        <w:separator/>
      </w:r>
    </w:p>
  </w:endnote>
  <w:endnote w:type="continuationSeparator" w:id="1">
    <w:p w:rsidR="007A20B6" w:rsidRDefault="007A20B6" w:rsidP="002E5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0B6" w:rsidRDefault="007A20B6" w:rsidP="002E5C3A">
      <w:pPr>
        <w:spacing w:after="0" w:line="240" w:lineRule="auto"/>
      </w:pPr>
      <w:r>
        <w:separator/>
      </w:r>
    </w:p>
  </w:footnote>
  <w:footnote w:type="continuationSeparator" w:id="1">
    <w:p w:rsidR="007A20B6" w:rsidRDefault="007A20B6" w:rsidP="002E5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3A" w:rsidRPr="002E5C3A" w:rsidRDefault="002E5C3A" w:rsidP="002E5C3A">
    <w:pPr>
      <w:pStyle w:val="a3"/>
      <w:jc w:val="right"/>
      <w:rPr>
        <w:rFonts w:ascii="Times New Roman" w:hAnsi="Times New Roman" w:cs="Times New Roman"/>
        <w:sz w:val="24"/>
        <w:szCs w:val="24"/>
      </w:rPr>
    </w:pPr>
    <w:r w:rsidRPr="002E5C3A">
      <w:rPr>
        <w:rFonts w:ascii="Times New Roman" w:hAnsi="Times New Roman" w:cs="Times New Roman"/>
        <w:sz w:val="24"/>
        <w:szCs w:val="24"/>
      </w:rPr>
      <w:t>ПРИЛОЖЕНИЕ 9</w:t>
    </w:r>
  </w:p>
  <w:p w:rsidR="002E5C3A" w:rsidRDefault="002E5C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5636"/>
    <w:rsid w:val="00055636"/>
    <w:rsid w:val="0028121E"/>
    <w:rsid w:val="002E5C3A"/>
    <w:rsid w:val="00353AC8"/>
    <w:rsid w:val="00577523"/>
    <w:rsid w:val="00777832"/>
    <w:rsid w:val="007A20B6"/>
    <w:rsid w:val="00CE2B1F"/>
    <w:rsid w:val="00EA2250"/>
    <w:rsid w:val="00EA4E71"/>
    <w:rsid w:val="00F73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C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C3A"/>
  </w:style>
  <w:style w:type="paragraph" w:styleId="a5">
    <w:name w:val="footer"/>
    <w:basedOn w:val="a"/>
    <w:link w:val="a6"/>
    <w:uiPriority w:val="99"/>
    <w:semiHidden/>
    <w:unhideWhenUsed/>
    <w:rsid w:val="002E5C3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E5C3A"/>
  </w:style>
  <w:style w:type="paragraph" w:styleId="a7">
    <w:name w:val="Balloon Text"/>
    <w:basedOn w:val="a"/>
    <w:link w:val="a8"/>
    <w:uiPriority w:val="99"/>
    <w:semiHidden/>
    <w:unhideWhenUsed/>
    <w:rsid w:val="002E5C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5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srakonk.ru/multipliereffec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7</cp:revision>
  <dcterms:created xsi:type="dcterms:W3CDTF">2022-11-12T03:39:00Z</dcterms:created>
  <dcterms:modified xsi:type="dcterms:W3CDTF">2022-11-12T14:38:00Z</dcterms:modified>
</cp:coreProperties>
</file>