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F0" w:rsidRPr="00E33ACF" w:rsidRDefault="005609F0" w:rsidP="00E33ACF">
      <w:pPr>
        <w:pStyle w:val="3"/>
        <w:shd w:val="clear" w:color="auto" w:fill="FFFFFF"/>
        <w:spacing w:before="0" w:line="240" w:lineRule="auto"/>
        <w:jc w:val="center"/>
        <w:rPr>
          <w:rFonts w:ascii="Arial" w:hAnsi="Arial" w:cs="Arial"/>
          <w:bCs w:val="0"/>
          <w:color w:val="111214"/>
          <w:spacing w:val="-2"/>
          <w:sz w:val="24"/>
          <w:szCs w:val="24"/>
        </w:rPr>
      </w:pPr>
      <w:r w:rsidRPr="00E33ACF">
        <w:rPr>
          <w:rFonts w:ascii="Arial" w:hAnsi="Arial" w:cs="Arial"/>
          <w:bCs w:val="0"/>
          <w:color w:val="111214"/>
          <w:spacing w:val="-2"/>
          <w:sz w:val="24"/>
          <w:szCs w:val="24"/>
        </w:rPr>
        <w:t>Требования к контрагентам</w:t>
      </w:r>
      <w:r w:rsidRPr="00E33ACF">
        <w:rPr>
          <w:rFonts w:ascii="Arial" w:hAnsi="Arial" w:cs="Arial"/>
          <w:color w:val="2B2E33"/>
          <w:spacing w:val="-2"/>
          <w:sz w:val="24"/>
          <w:szCs w:val="24"/>
        </w:rPr>
        <w:t xml:space="preserve"> по операциям репо Банка России</w:t>
      </w:r>
      <w:r w:rsidRPr="00E33ACF">
        <w:rPr>
          <w:rStyle w:val="a7"/>
          <w:rFonts w:ascii="Arial" w:hAnsi="Arial" w:cs="Arial"/>
          <w:color w:val="2B2E33"/>
          <w:spacing w:val="-2"/>
          <w:sz w:val="24"/>
          <w:szCs w:val="24"/>
        </w:rPr>
        <w:footnoteReference w:id="2"/>
      </w:r>
    </w:p>
    <w:p w:rsidR="005609F0" w:rsidRPr="00E33ACF" w:rsidRDefault="005609F0" w:rsidP="00E33ACF">
      <w:pPr>
        <w:pStyle w:val="a4"/>
        <w:shd w:val="clear" w:color="auto" w:fill="FFFFFF"/>
        <w:spacing w:before="0" w:beforeAutospacing="0" w:after="0" w:afterAutospacing="0"/>
        <w:rPr>
          <w:rFonts w:ascii="Arial" w:hAnsi="Arial" w:cs="Arial"/>
          <w:b/>
          <w:color w:val="2B2E33"/>
          <w:spacing w:val="-2"/>
        </w:rPr>
      </w:pPr>
    </w:p>
    <w:p w:rsidR="005609F0" w:rsidRPr="00E33ACF" w:rsidRDefault="005609F0" w:rsidP="00E33ACF">
      <w:pPr>
        <w:pStyle w:val="a4"/>
        <w:shd w:val="clear" w:color="auto" w:fill="FFFFFF"/>
        <w:spacing w:before="0" w:beforeAutospacing="0" w:after="0" w:afterAutospacing="0"/>
        <w:rPr>
          <w:rFonts w:ascii="Arial" w:hAnsi="Arial" w:cs="Arial"/>
          <w:color w:val="2B2E33"/>
          <w:spacing w:val="-2"/>
        </w:rPr>
      </w:pPr>
      <w:r w:rsidRPr="00E33ACF">
        <w:rPr>
          <w:rFonts w:ascii="Arial" w:hAnsi="Arial" w:cs="Arial"/>
          <w:color w:val="2B2E33"/>
          <w:spacing w:val="-2"/>
        </w:rPr>
        <w:t>Операции репо Банка России проводятся только с российскими кредитными организациями при выполнении следующих условий:</w:t>
      </w:r>
    </w:p>
    <w:p w:rsidR="005609F0" w:rsidRPr="00E33ACF" w:rsidRDefault="005609F0" w:rsidP="00E33ACF">
      <w:pPr>
        <w:numPr>
          <w:ilvl w:val="0"/>
          <w:numId w:val="1"/>
        </w:numPr>
        <w:shd w:val="clear" w:color="auto" w:fill="FFFFFF"/>
        <w:spacing w:after="0" w:line="240" w:lineRule="auto"/>
        <w:ind w:left="768"/>
        <w:rPr>
          <w:rFonts w:ascii="Arial" w:hAnsi="Arial" w:cs="Arial"/>
          <w:color w:val="2B2E33"/>
          <w:spacing w:val="-2"/>
          <w:sz w:val="24"/>
          <w:szCs w:val="24"/>
        </w:rPr>
      </w:pPr>
      <w:r w:rsidRPr="00E33ACF">
        <w:rPr>
          <w:rFonts w:ascii="Arial" w:hAnsi="Arial" w:cs="Arial"/>
          <w:color w:val="2B2E33"/>
          <w:spacing w:val="-2"/>
          <w:sz w:val="24"/>
          <w:szCs w:val="24"/>
        </w:rPr>
        <w:t>кредитная организация заключила с Банком России генеральное соглашение, устанавливающее общие условия совершения Банком России и кредитной организацией сделок репо на организованных торгах и (или) устанавливающее общие условия совершения Банком России и кредитной организацией сделок репо не на организованных торгах;</w:t>
      </w:r>
    </w:p>
    <w:p w:rsidR="005609F0" w:rsidRPr="00E33ACF" w:rsidRDefault="005609F0" w:rsidP="00E33ACF">
      <w:pPr>
        <w:numPr>
          <w:ilvl w:val="0"/>
          <w:numId w:val="1"/>
        </w:numPr>
        <w:shd w:val="clear" w:color="auto" w:fill="FFFFFF"/>
        <w:spacing w:after="0" w:line="240" w:lineRule="auto"/>
        <w:ind w:left="768"/>
        <w:rPr>
          <w:rFonts w:ascii="Arial" w:hAnsi="Arial" w:cs="Arial"/>
          <w:color w:val="2B2E33"/>
          <w:spacing w:val="-2"/>
          <w:sz w:val="24"/>
          <w:szCs w:val="24"/>
        </w:rPr>
      </w:pPr>
      <w:r w:rsidRPr="00E33ACF">
        <w:rPr>
          <w:rFonts w:ascii="Arial" w:hAnsi="Arial" w:cs="Arial"/>
          <w:color w:val="2B2E33"/>
          <w:spacing w:val="-2"/>
          <w:sz w:val="24"/>
          <w:szCs w:val="24"/>
        </w:rPr>
        <w:t>кредитная организация, являющаяся банком, отнесена к 1, 2 или 3 классификационной группе, небанковская кредитная организация — к 1 или 2 классификационной группе по результатам оценки экономического положения кредитной организации (до 1 января 2023 года). С 1 января 2023 года кредитная организация должна иметь хотя бы один кредитный рейтинг, при этом минимальный из имеющихся у кредитной организации кредитных рейтингов должен находиться на уровне не ниже «B-(RU)» / «ruB-» / «B-.ru» / «B-|ru|» по национальной рейтинговой шкале для Российской Федерации кредитных рейтинговых агентств АКРА (АО) / АО «Эксперт РА» / ООО «НКР» / ООО «НРА»;</w:t>
      </w:r>
    </w:p>
    <w:p w:rsidR="005609F0" w:rsidRPr="00E33ACF" w:rsidRDefault="005609F0" w:rsidP="00E33ACF">
      <w:pPr>
        <w:numPr>
          <w:ilvl w:val="0"/>
          <w:numId w:val="1"/>
        </w:numPr>
        <w:shd w:val="clear" w:color="auto" w:fill="FFFFFF"/>
        <w:spacing w:after="0" w:line="240" w:lineRule="auto"/>
        <w:ind w:left="768"/>
        <w:rPr>
          <w:rFonts w:ascii="Arial" w:hAnsi="Arial" w:cs="Arial"/>
          <w:color w:val="2B2E33"/>
          <w:spacing w:val="-2"/>
          <w:sz w:val="24"/>
          <w:szCs w:val="24"/>
        </w:rPr>
      </w:pPr>
      <w:r w:rsidRPr="00E33ACF">
        <w:rPr>
          <w:rFonts w:ascii="Arial" w:hAnsi="Arial" w:cs="Arial"/>
          <w:color w:val="2B2E33"/>
          <w:spacing w:val="-2"/>
          <w:sz w:val="24"/>
          <w:szCs w:val="24"/>
        </w:rPr>
        <w:t>кредитная организация не имеет просроченных денежных обязательств перед Банком России.</w:t>
      </w:r>
    </w:p>
    <w:p w:rsidR="00E33ACF" w:rsidRDefault="00E33ACF" w:rsidP="00E33ACF">
      <w:pPr>
        <w:pStyle w:val="3"/>
        <w:shd w:val="clear" w:color="auto" w:fill="FFFFFF"/>
        <w:spacing w:before="0" w:line="240" w:lineRule="auto"/>
        <w:rPr>
          <w:rFonts w:ascii="Arial" w:hAnsi="Arial" w:cs="Arial"/>
          <w:b w:val="0"/>
          <w:bCs w:val="0"/>
          <w:color w:val="111214"/>
          <w:spacing w:val="-2"/>
          <w:sz w:val="24"/>
          <w:szCs w:val="24"/>
        </w:rPr>
      </w:pPr>
    </w:p>
    <w:p w:rsidR="005609F0" w:rsidRPr="00E33ACF" w:rsidRDefault="005609F0" w:rsidP="00E33ACF">
      <w:pPr>
        <w:pStyle w:val="3"/>
        <w:shd w:val="clear" w:color="auto" w:fill="FFFFFF"/>
        <w:spacing w:before="0" w:line="240" w:lineRule="auto"/>
        <w:jc w:val="center"/>
        <w:rPr>
          <w:rFonts w:ascii="Arial" w:hAnsi="Arial" w:cs="Arial"/>
          <w:bCs w:val="0"/>
          <w:color w:val="111214"/>
          <w:spacing w:val="-2"/>
          <w:sz w:val="24"/>
          <w:szCs w:val="24"/>
        </w:rPr>
      </w:pPr>
      <w:r w:rsidRPr="00E33ACF">
        <w:rPr>
          <w:rFonts w:ascii="Arial" w:hAnsi="Arial" w:cs="Arial"/>
          <w:bCs w:val="0"/>
          <w:color w:val="111214"/>
          <w:spacing w:val="-2"/>
          <w:sz w:val="24"/>
          <w:szCs w:val="24"/>
        </w:rPr>
        <w:t>Условия совершения операций</w:t>
      </w:r>
    </w:p>
    <w:p w:rsidR="005609F0" w:rsidRPr="00E33ACF" w:rsidRDefault="005609F0" w:rsidP="00E33ACF">
      <w:pPr>
        <w:spacing w:after="0" w:line="240" w:lineRule="auto"/>
        <w:rPr>
          <w:sz w:val="24"/>
          <w:szCs w:val="24"/>
        </w:rPr>
      </w:pP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Банк России устанавливает следующие условия заключения сделок репо: дату заключения сделок, срок репо, даты продажи и последующей покупки ценных бумаг, процентную ставку.</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Операции репо Банка России проводятся на организованных торгах на Московской Бирже и Санкт-Петербургской валютной бирже, а также не на организованных торгах с использованием информационной системы Bloomberg.</w:t>
      </w:r>
    </w:p>
    <w:p w:rsidR="005609F0" w:rsidRPr="00E33ACF" w:rsidRDefault="005609F0" w:rsidP="00E33ACF">
      <w:pPr>
        <w:shd w:val="clear" w:color="auto" w:fill="FFFFFF"/>
        <w:spacing w:after="0" w:line="240" w:lineRule="auto"/>
        <w:ind w:firstLine="709"/>
        <w:jc w:val="both"/>
        <w:rPr>
          <w:rFonts w:ascii="Arial" w:hAnsi="Arial" w:cs="Arial"/>
          <w:color w:val="2B2E33"/>
          <w:spacing w:val="-2"/>
          <w:sz w:val="24"/>
          <w:szCs w:val="24"/>
        </w:rPr>
      </w:pPr>
      <w:hyperlink r:id="rId8" w:history="1">
        <w:r w:rsidRPr="00E33ACF">
          <w:rPr>
            <w:rStyle w:val="document-regularnamevisible"/>
            <w:rFonts w:ascii="Arial" w:hAnsi="Arial" w:cs="Arial"/>
            <w:color w:val="111214"/>
            <w:spacing w:val="-2"/>
            <w:sz w:val="24"/>
            <w:szCs w:val="24"/>
          </w:rPr>
          <w:t>Руководство по заключению сделок репо с Банком России с корзиной ценных бумаг</w:t>
        </w:r>
      </w:hyperlink>
    </w:p>
    <w:p w:rsidR="005609F0" w:rsidRPr="00E33ACF" w:rsidRDefault="005609F0" w:rsidP="00E33ACF">
      <w:pPr>
        <w:pStyle w:val="3"/>
        <w:shd w:val="clear" w:color="auto" w:fill="FFFFFF"/>
        <w:spacing w:before="0" w:line="240" w:lineRule="auto"/>
        <w:ind w:firstLine="709"/>
        <w:rPr>
          <w:rFonts w:ascii="Arial" w:hAnsi="Arial" w:cs="Arial"/>
          <w:b w:val="0"/>
          <w:bCs w:val="0"/>
          <w:color w:val="111214"/>
          <w:spacing w:val="-2"/>
          <w:sz w:val="24"/>
          <w:szCs w:val="24"/>
        </w:rPr>
      </w:pPr>
    </w:p>
    <w:p w:rsidR="005609F0" w:rsidRPr="00E33ACF" w:rsidRDefault="005609F0" w:rsidP="00E33ACF">
      <w:pPr>
        <w:pStyle w:val="3"/>
        <w:shd w:val="clear" w:color="auto" w:fill="FFFFFF"/>
        <w:spacing w:before="0" w:line="240" w:lineRule="auto"/>
        <w:ind w:firstLine="709"/>
        <w:jc w:val="center"/>
        <w:rPr>
          <w:rFonts w:ascii="Arial" w:hAnsi="Arial" w:cs="Arial"/>
          <w:bCs w:val="0"/>
          <w:color w:val="111214"/>
          <w:spacing w:val="-2"/>
          <w:sz w:val="24"/>
          <w:szCs w:val="24"/>
        </w:rPr>
      </w:pPr>
      <w:r w:rsidRPr="00E33ACF">
        <w:rPr>
          <w:rFonts w:ascii="Arial" w:hAnsi="Arial" w:cs="Arial"/>
          <w:bCs w:val="0"/>
          <w:color w:val="111214"/>
          <w:spacing w:val="-2"/>
          <w:sz w:val="24"/>
          <w:szCs w:val="24"/>
        </w:rPr>
        <w:t>Ценные бумаги, допущенные к операциям репо</w:t>
      </w:r>
    </w:p>
    <w:p w:rsidR="005609F0" w:rsidRPr="00E33ACF" w:rsidRDefault="005609F0" w:rsidP="00E33ACF">
      <w:pPr>
        <w:spacing w:after="0" w:line="240" w:lineRule="auto"/>
        <w:ind w:firstLine="709"/>
        <w:jc w:val="center"/>
        <w:rPr>
          <w:b/>
          <w:sz w:val="24"/>
          <w:szCs w:val="24"/>
        </w:rPr>
      </w:pP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По операциям репо Банка России принимаются ценные бумаги, которые входят в Ломбардный список Банка России и для которых установлены начальные значения дисконта меньше 100%. Перечень ценных бумагах, принимаемых по репо</w:t>
      </w:r>
      <w:r w:rsidRPr="00E33ACF">
        <w:rPr>
          <w:rFonts w:ascii="Arial" w:hAnsi="Arial" w:cs="Arial"/>
          <w:color w:val="2B2E33"/>
          <w:spacing w:val="-2"/>
          <w:u w:val="single"/>
        </w:rPr>
        <w:t>,</w:t>
      </w:r>
      <w:r w:rsidRPr="00E33ACF">
        <w:rPr>
          <w:rFonts w:ascii="Arial" w:hAnsi="Arial" w:cs="Arial"/>
          <w:color w:val="2B2E33"/>
          <w:spacing w:val="-2"/>
        </w:rPr>
        <w:t> ежедневно раскрывается на сайте Банка России.</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По операциям репо не принимаются ценные бумаги, эмитированные кредитной организацией, заключающей сделку, или другими связанными с ней финансовыми организациями.</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При заключении сделок репо у кредитных организаций есть возможность подавать заявки без указания конкретных выпусков ценных бумаг, а работать с корзиной ценных бумаг, предоставляемых для проведения расчетов.</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lastRenderedPageBreak/>
        <w:t>При заключении сделок репо с расчетами, клирингом и управлением обеспечением в НКО ЗАО НРД у кредитной организации существует возможность замены ценных бумаг по открытым сделкам репо в течение срока репо.</w:t>
      </w:r>
    </w:p>
    <w:p w:rsidR="00E33ACF" w:rsidRDefault="00E33ACF" w:rsidP="00E33ACF">
      <w:pPr>
        <w:pStyle w:val="3"/>
        <w:shd w:val="clear" w:color="auto" w:fill="FFFFFF"/>
        <w:spacing w:before="0" w:line="240" w:lineRule="auto"/>
        <w:jc w:val="center"/>
        <w:rPr>
          <w:rFonts w:ascii="Arial" w:hAnsi="Arial" w:cs="Arial"/>
          <w:bCs w:val="0"/>
          <w:color w:val="111214"/>
          <w:spacing w:val="-2"/>
          <w:sz w:val="24"/>
          <w:szCs w:val="24"/>
        </w:rPr>
      </w:pPr>
    </w:p>
    <w:p w:rsidR="005609F0" w:rsidRPr="00E33ACF" w:rsidRDefault="005609F0" w:rsidP="00E33ACF">
      <w:pPr>
        <w:pStyle w:val="3"/>
        <w:shd w:val="clear" w:color="auto" w:fill="FFFFFF"/>
        <w:spacing w:before="0" w:line="240" w:lineRule="auto"/>
        <w:jc w:val="center"/>
        <w:rPr>
          <w:rFonts w:ascii="Arial" w:hAnsi="Arial" w:cs="Arial"/>
          <w:bCs w:val="0"/>
          <w:color w:val="111214"/>
          <w:spacing w:val="-2"/>
          <w:sz w:val="24"/>
          <w:szCs w:val="24"/>
        </w:rPr>
      </w:pPr>
      <w:r w:rsidRPr="00E33ACF">
        <w:rPr>
          <w:rFonts w:ascii="Arial" w:hAnsi="Arial" w:cs="Arial"/>
          <w:bCs w:val="0"/>
          <w:color w:val="111214"/>
          <w:spacing w:val="-2"/>
          <w:sz w:val="24"/>
          <w:szCs w:val="24"/>
        </w:rPr>
        <w:t>Дисконты и компенсационные взносы</w:t>
      </w:r>
    </w:p>
    <w:p w:rsidR="005609F0" w:rsidRPr="00E33ACF" w:rsidRDefault="005609F0" w:rsidP="00E33ACF">
      <w:pPr>
        <w:spacing w:after="0" w:line="240" w:lineRule="auto"/>
        <w:rPr>
          <w:sz w:val="24"/>
          <w:szCs w:val="24"/>
        </w:rPr>
      </w:pP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Банк России для управления рисками по операциям репо использует дисконты, устанавливаемые индивидуально для каждой принимаемой ценной бумаги. При установлении дисконтов по ценной бумаге учитывается ее кредитное качество, уровень ликвидности, а также иные особенности ценной бумаги. Банк России устанавливает начальный, верхний предельный и нижний предельный дисконты, а также ежедневно рассчитывает текущие дисконты по операциям репо на сроки свыше 1 дня.</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Начальный дисконт применяется для расчета общей стоимости ценных бумаг, которые кредитная организация должна передать Банку России по первой части сделки репо за предоставленные ей денежные средства. Ценная бумага не принимается по операциям репо, если начальный дисконт по ней установлен равным 100%.</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В течение всего срока репо Банк России ежедневно осуществляет переоценку переданных ценных бумаг и рассчитывает текущий дисконт. Устанавливаемые верхний предельный и нижний предельный дисконты определяют приемлемое соотношение между стоимостью переданных ценных бумаг и объемом денежных средств по репо. То есть при нахождении рассчитанного текущего дисконта в интервале между верхним предельным и нижним предельным дисконтом не требуется дополнительного внесения или, наоборот, возврата ценных бумаг (возврата или дополнительного внесения денежных средств), ни у кого не возникает обязательств по внесению компенсационных взносов.</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По сделкам репо, заключенным на организованных торгах, при превышении текущим дисконтом верхнего предельного дисконта у Банка России возникает обязательство по внесению компенсационного взноса ценными бумагами, а если текущий дисконт становится меньше нижнего предельного дисконта, у контрагента Банка России возникает обязательство по внесению компенсационного взноса в денежной форме.</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По сделкам репо, заключенным не на организованных торгах с использованием информационной системы Bloomberg с расчетами, клирингом и управлением обеспечением в НКО ЗАО НРД, все компенсационные взносы уплачиваются в первую очередь ценными бумагами, а денежные средства используются для уплаты компенсационных взносов только при отсутствии достаточного количества ценных бумаг, доступных для урегулирования обязательств.</w:t>
      </w:r>
    </w:p>
    <w:p w:rsidR="005609F0" w:rsidRPr="00E33ACF" w:rsidRDefault="005609F0" w:rsidP="00E33ACF">
      <w:pPr>
        <w:pStyle w:val="a4"/>
        <w:shd w:val="clear" w:color="auto" w:fill="FFFFFF"/>
        <w:spacing w:before="0" w:beforeAutospacing="0" w:after="0" w:afterAutospacing="0"/>
        <w:ind w:firstLine="709"/>
        <w:jc w:val="both"/>
        <w:rPr>
          <w:rFonts w:ascii="Arial" w:hAnsi="Arial" w:cs="Arial"/>
          <w:color w:val="2B2E33"/>
          <w:spacing w:val="-2"/>
        </w:rPr>
      </w:pPr>
      <w:r w:rsidRPr="00E33ACF">
        <w:rPr>
          <w:rFonts w:ascii="Arial" w:hAnsi="Arial" w:cs="Arial"/>
          <w:color w:val="2B2E33"/>
          <w:spacing w:val="-2"/>
        </w:rPr>
        <w:t>Кроме того, операции репо, проводимые не на организованных торгах с использованием информационной системы Bloomberg и расчетами, клирингом и управлением обеспечением в НКО ЗАО НРД, имеют следующие особенности: переоценка ценных бумаг осуществляется не по каждой сделке в отдельности, а по всему пулу сделок каждого контрагента Банка России, при этом используются значения начальных дисконтов, установленные Банком России на утро текущего дня.</w:t>
      </w:r>
    </w:p>
    <w:p w:rsidR="005609F0" w:rsidRPr="00E33ACF" w:rsidRDefault="005609F0" w:rsidP="00E33ACF">
      <w:pPr>
        <w:spacing w:after="0" w:line="240" w:lineRule="auto"/>
        <w:ind w:firstLine="709"/>
        <w:jc w:val="both"/>
        <w:textAlignment w:val="baseline"/>
        <w:rPr>
          <w:rFonts w:ascii="Times New Roman" w:eastAsia="Times New Roman" w:hAnsi="Times New Roman" w:cs="Times New Roman"/>
          <w:sz w:val="24"/>
          <w:szCs w:val="24"/>
          <w:lang w:eastAsia="ru-RU"/>
        </w:rPr>
      </w:pPr>
    </w:p>
    <w:p w:rsidR="005609F0" w:rsidRPr="00E33ACF" w:rsidRDefault="005609F0" w:rsidP="00E33ACF">
      <w:pPr>
        <w:spacing w:after="0" w:line="240" w:lineRule="auto"/>
        <w:ind w:firstLine="709"/>
        <w:jc w:val="both"/>
        <w:textAlignment w:val="baseline"/>
        <w:rPr>
          <w:rFonts w:ascii="Times New Roman" w:eastAsia="Times New Roman" w:hAnsi="Times New Roman" w:cs="Times New Roman"/>
          <w:sz w:val="24"/>
          <w:szCs w:val="24"/>
          <w:lang w:eastAsia="ru-RU"/>
        </w:rPr>
      </w:pPr>
    </w:p>
    <w:p w:rsidR="00353AC8" w:rsidRPr="00E33ACF" w:rsidRDefault="00353AC8" w:rsidP="00E33ACF">
      <w:pPr>
        <w:spacing w:after="0" w:line="240" w:lineRule="auto"/>
        <w:ind w:firstLine="709"/>
        <w:jc w:val="both"/>
        <w:rPr>
          <w:sz w:val="24"/>
          <w:szCs w:val="24"/>
        </w:rPr>
      </w:pPr>
    </w:p>
    <w:sectPr w:rsidR="00353AC8" w:rsidRPr="00E33ACF" w:rsidSect="00353AC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E7" w:rsidRDefault="00C12BE7" w:rsidP="005609F0">
      <w:pPr>
        <w:spacing w:after="0" w:line="240" w:lineRule="auto"/>
      </w:pPr>
      <w:r>
        <w:separator/>
      </w:r>
    </w:p>
  </w:endnote>
  <w:endnote w:type="continuationSeparator" w:id="1">
    <w:p w:rsidR="00C12BE7" w:rsidRDefault="00C12BE7" w:rsidP="0056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E7" w:rsidRDefault="00C12BE7" w:rsidP="005609F0">
      <w:pPr>
        <w:spacing w:after="0" w:line="240" w:lineRule="auto"/>
      </w:pPr>
      <w:r>
        <w:separator/>
      </w:r>
    </w:p>
  </w:footnote>
  <w:footnote w:type="continuationSeparator" w:id="1">
    <w:p w:rsidR="00C12BE7" w:rsidRDefault="00C12BE7" w:rsidP="005609F0">
      <w:pPr>
        <w:spacing w:after="0" w:line="240" w:lineRule="auto"/>
      </w:pPr>
      <w:r>
        <w:continuationSeparator/>
      </w:r>
    </w:p>
  </w:footnote>
  <w:footnote w:id="2">
    <w:p w:rsidR="005609F0" w:rsidRPr="00E33ACF" w:rsidRDefault="005609F0" w:rsidP="005609F0">
      <w:pPr>
        <w:pStyle w:val="1"/>
        <w:shd w:val="clear" w:color="auto" w:fill="FFFFFF"/>
        <w:spacing w:before="0"/>
        <w:rPr>
          <w:rStyle w:val="referenceable"/>
          <w:rFonts w:ascii="Arial" w:hAnsi="Arial" w:cs="Arial"/>
          <w:b w:val="0"/>
          <w:bCs w:val="0"/>
          <w:color w:val="111214"/>
          <w:sz w:val="20"/>
          <w:szCs w:val="20"/>
        </w:rPr>
      </w:pPr>
      <w:r w:rsidRPr="00E33ACF">
        <w:rPr>
          <w:rStyle w:val="a7"/>
          <w:rFonts w:ascii="Arial" w:hAnsi="Arial" w:cs="Arial"/>
          <w:sz w:val="20"/>
          <w:szCs w:val="20"/>
        </w:rPr>
        <w:footnoteRef/>
      </w:r>
      <w:r w:rsidRPr="00E33ACF">
        <w:rPr>
          <w:rFonts w:ascii="Arial" w:hAnsi="Arial" w:cs="Arial"/>
          <w:sz w:val="20"/>
          <w:szCs w:val="20"/>
        </w:rPr>
        <w:t xml:space="preserve"> </w:t>
      </w:r>
      <w:r w:rsidRPr="00E33ACF">
        <w:rPr>
          <w:rStyle w:val="referenceable"/>
          <w:rFonts w:ascii="Arial" w:hAnsi="Arial" w:cs="Arial"/>
          <w:b w:val="0"/>
          <w:bCs w:val="0"/>
          <w:color w:val="111214"/>
          <w:sz w:val="20"/>
          <w:szCs w:val="20"/>
        </w:rPr>
        <w:t>Операции репо Банка России</w:t>
      </w:r>
      <w:r w:rsidRPr="00E33ACF">
        <w:rPr>
          <w:rFonts w:ascii="Arial" w:hAnsi="Arial" w:cs="Arial"/>
          <w:sz w:val="20"/>
          <w:szCs w:val="20"/>
        </w:rPr>
        <w:t xml:space="preserve"> [</w:t>
      </w:r>
      <w:r w:rsidRPr="00E33ACF">
        <w:rPr>
          <w:rStyle w:val="referenceable"/>
          <w:rFonts w:ascii="Arial" w:hAnsi="Arial" w:cs="Arial"/>
          <w:b w:val="0"/>
          <w:bCs w:val="0"/>
          <w:color w:val="111214"/>
          <w:sz w:val="20"/>
          <w:szCs w:val="20"/>
        </w:rPr>
        <w:t>https://cbr.ru/oper_br/t_odm/repo_operations/]</w:t>
      </w:r>
    </w:p>
    <w:p w:rsidR="005609F0" w:rsidRPr="00E33ACF" w:rsidRDefault="005609F0" w:rsidP="005609F0">
      <w:pPr>
        <w:pStyle w:val="1"/>
        <w:shd w:val="clear" w:color="auto" w:fill="FFFFFF"/>
        <w:spacing w:before="0"/>
        <w:rPr>
          <w:rStyle w:val="referenceable"/>
          <w:rFonts w:ascii="Arial" w:hAnsi="Arial" w:cs="Arial"/>
          <w:b w:val="0"/>
          <w:bCs w:val="0"/>
          <w:color w:val="111214"/>
          <w:sz w:val="20"/>
          <w:szCs w:val="20"/>
        </w:rPr>
      </w:pPr>
    </w:p>
    <w:p w:rsidR="005609F0" w:rsidRPr="00E33ACF" w:rsidRDefault="005609F0">
      <w:pPr>
        <w:pStyle w:val="a5"/>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37" w:rsidRPr="008E2D37" w:rsidRDefault="008E2D37" w:rsidP="008E2D37">
    <w:pPr>
      <w:pStyle w:val="a8"/>
      <w:jc w:val="right"/>
      <w:rPr>
        <w:rFonts w:ascii="Times New Roman" w:hAnsi="Times New Roman" w:cs="Times New Roman"/>
        <w:sz w:val="20"/>
        <w:szCs w:val="20"/>
      </w:rPr>
    </w:pPr>
    <w:r w:rsidRPr="008E2D37">
      <w:rPr>
        <w:rFonts w:ascii="Times New Roman" w:hAnsi="Times New Roman" w:cs="Times New Roman"/>
        <w:sz w:val="20"/>
        <w:szCs w:val="20"/>
      </w:rPr>
      <w:t>ПРИЛОЖЕНИЕ 2</w:t>
    </w:r>
  </w:p>
  <w:p w:rsidR="008E2D37" w:rsidRDefault="008E2D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143"/>
    <w:multiLevelType w:val="multilevel"/>
    <w:tmpl w:val="2406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09F0"/>
    <w:rsid w:val="00353AC8"/>
    <w:rsid w:val="005609F0"/>
    <w:rsid w:val="00661AA3"/>
    <w:rsid w:val="008E2D37"/>
    <w:rsid w:val="00C12BE7"/>
    <w:rsid w:val="00E3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F0"/>
  </w:style>
  <w:style w:type="paragraph" w:styleId="1">
    <w:name w:val="heading 1"/>
    <w:basedOn w:val="a"/>
    <w:next w:val="a"/>
    <w:link w:val="10"/>
    <w:uiPriority w:val="9"/>
    <w:qFormat/>
    <w:rsid w:val="00560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60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09F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5609F0"/>
    <w:rPr>
      <w:color w:val="0000FF"/>
      <w:u w:val="single"/>
    </w:rPr>
  </w:style>
  <w:style w:type="paragraph" w:styleId="a4">
    <w:name w:val="Normal (Web)"/>
    <w:basedOn w:val="a"/>
    <w:uiPriority w:val="99"/>
    <w:unhideWhenUsed/>
    <w:rsid w:val="0056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regularnamevisible">
    <w:name w:val="document-regular_name_visible"/>
    <w:basedOn w:val="a0"/>
    <w:rsid w:val="005609F0"/>
  </w:style>
  <w:style w:type="paragraph" w:styleId="a5">
    <w:name w:val="footnote text"/>
    <w:basedOn w:val="a"/>
    <w:link w:val="a6"/>
    <w:uiPriority w:val="99"/>
    <w:semiHidden/>
    <w:unhideWhenUsed/>
    <w:rsid w:val="005609F0"/>
    <w:pPr>
      <w:spacing w:after="0" w:line="240" w:lineRule="auto"/>
    </w:pPr>
    <w:rPr>
      <w:sz w:val="20"/>
      <w:szCs w:val="20"/>
    </w:rPr>
  </w:style>
  <w:style w:type="character" w:customStyle="1" w:styleId="a6">
    <w:name w:val="Текст сноски Знак"/>
    <w:basedOn w:val="a0"/>
    <w:link w:val="a5"/>
    <w:uiPriority w:val="99"/>
    <w:semiHidden/>
    <w:rsid w:val="005609F0"/>
    <w:rPr>
      <w:sz w:val="20"/>
      <w:szCs w:val="20"/>
    </w:rPr>
  </w:style>
  <w:style w:type="character" w:styleId="a7">
    <w:name w:val="footnote reference"/>
    <w:basedOn w:val="a0"/>
    <w:uiPriority w:val="99"/>
    <w:semiHidden/>
    <w:unhideWhenUsed/>
    <w:rsid w:val="005609F0"/>
    <w:rPr>
      <w:vertAlign w:val="superscript"/>
    </w:rPr>
  </w:style>
  <w:style w:type="character" w:customStyle="1" w:styleId="10">
    <w:name w:val="Заголовок 1 Знак"/>
    <w:basedOn w:val="a0"/>
    <w:link w:val="1"/>
    <w:uiPriority w:val="9"/>
    <w:rsid w:val="005609F0"/>
    <w:rPr>
      <w:rFonts w:asciiTheme="majorHAnsi" w:eastAsiaTheme="majorEastAsia" w:hAnsiTheme="majorHAnsi" w:cstheme="majorBidi"/>
      <w:b/>
      <w:bCs/>
      <w:color w:val="365F91" w:themeColor="accent1" w:themeShade="BF"/>
      <w:sz w:val="28"/>
      <w:szCs w:val="28"/>
    </w:rPr>
  </w:style>
  <w:style w:type="character" w:customStyle="1" w:styleId="referenceable">
    <w:name w:val="referenceable"/>
    <w:basedOn w:val="a0"/>
    <w:rsid w:val="005609F0"/>
  </w:style>
  <w:style w:type="paragraph" w:styleId="a8">
    <w:name w:val="header"/>
    <w:basedOn w:val="a"/>
    <w:link w:val="a9"/>
    <w:uiPriority w:val="99"/>
    <w:unhideWhenUsed/>
    <w:rsid w:val="008E2D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2D37"/>
  </w:style>
  <w:style w:type="paragraph" w:styleId="aa">
    <w:name w:val="footer"/>
    <w:basedOn w:val="a"/>
    <w:link w:val="ab"/>
    <w:uiPriority w:val="99"/>
    <w:semiHidden/>
    <w:unhideWhenUsed/>
    <w:rsid w:val="008E2D3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E2D37"/>
  </w:style>
  <w:style w:type="paragraph" w:styleId="ac">
    <w:name w:val="Balloon Text"/>
    <w:basedOn w:val="a"/>
    <w:link w:val="ad"/>
    <w:uiPriority w:val="99"/>
    <w:semiHidden/>
    <w:unhideWhenUsed/>
    <w:rsid w:val="008E2D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2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r.ru/oper_br/t_odm/repo_operations/Manual_RE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2781-0BE7-40BC-8771-F75B652A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2022-11-21T07:20:00Z</dcterms:created>
  <dcterms:modified xsi:type="dcterms:W3CDTF">2022-11-21T07:23:00Z</dcterms:modified>
</cp:coreProperties>
</file>