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Новые прогнозы МЭА. </w:t>
      </w:r>
      <w:r w:rsidRPr="00B661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Сокращение мирового спроса на газ в 2022 г., падение российских поставок в Европу и снижение добычи</w:t>
      </w:r>
      <w:r w:rsidRPr="00B66147">
        <w:rPr>
          <w:rStyle w:val="a6"/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footnoteReference w:id="2"/>
      </w: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66147" w:rsidRDefault="00B66147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338" w:rsidRDefault="00DA6338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рынок газа</w:t>
      </w:r>
    </w:p>
    <w:p w:rsidR="00B66147" w:rsidRPr="00B66147" w:rsidRDefault="00B66147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МЭА, мировое потребление природного газа будет расти среднегодовыми темпами на 0,8% в 2022-2025 гг., достигнув примерно 4,24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концу этого периода.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2021 г. спрос на газ в мире в 2025 г. вырастет на 3,4% или почти на 140 млрд</w:t>
      </w:r>
      <w:r w:rsid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значительно ниже предыдущего прогноза МЭА, в котором агентство ожидало роста почти на 210 млрд</w:t>
      </w:r>
      <w:r w:rsid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2021-2024 гг. со среднегодовыми темпами роста на 1,7%.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на спрос на газ оказывают высокие цены и ограниченные объемы поставок, которые сложились во 2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полугодии 2021 г. и усилились после начала российской спецоперации на Украине в феврале 2022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приведут к снижению спроса на газ в 2022 г. на 0,5% по сравнению с 2021 г., до 4,083 млрд</w:t>
      </w:r>
      <w:r w:rsid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которым последует незначительный рост потребления в последующие годы, который достигнет 1,5% в 2025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МЭА отмечает, что потребление газа в промышленном секторе по-прежнему будет вносить наибольший вклад в глобальный рост спроса на газ, обеспечив около 60% от общего увеличения спроса в период с 2021 по 2025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неопределенность остается высокой, поскольку промышленность в наибольшей степени уязвима к высоким ценам на энергоносители и сырье.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географическом плане рост спроса на газ сконцентрирован в 2 регионах, на которые придется почти 80% прироста.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Азиатско-Тихоокеанский регион (АТР) приходится почти 50% прироста мирового потребления газа в 2022-2025 гг., за которым следует Ближний Восток с 1/3.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 на газ в АТР в 2022 г. вырастет на 1,3% и составит 907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т.ч. в Китае на 3,6%, до 377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2025 г. достигнет 990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Китае 438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Северная Америка и Африка вносят более скромный вклад, в то время как потребление газа в Центральной и Южной Америке и Евразии останется на прежнем уровне, а в Европе - значительно сократится.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Европе спрос на газ в 2022 г. упадет на 9,1%, до 549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 2025 г. опустится до 536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факторов риска для этого прогноза МЭА называет снижение экономической активности в связи с ситуацией вокруг Украины, угрозы перебоев в поставках газа, неопределенности с дополнительными проблемами в цепочках поставок сырьевых товаров и обрабатывающей промышленности, дальнейшее инфляционное давление и риски стагфляции, а также ситуацию с COVID-19 в Китае.</w:t>
      </w:r>
    </w:p>
    <w:p w:rsidR="00B66147" w:rsidRDefault="00B66147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газа в Европу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полугодии 2022 г. поставки российского газа в Европу продолжили сокращаться после снижения в 2021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МЭА по-прежнему настаивает, что Газпром создал искусственный дефицит в Европе, что обострило ситуацию на рынке ЕС, повысило цены до рекордных уровней и привело к нескольким скачкам цен в течение отопительного сезона 2021-2022 гг.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обвинения звучат в адрес Газпрома уже не в первый раз, в т.ч. со стороны МЭА, тогда как Газпром осуществлял поставки строго в рамках условий долгосрочных контрактов, 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отказываясь лишь от вывода дополнительных объемов газа на биржу.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 в 1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полугодии 2022 г. наложились:</w:t>
      </w: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38" w:rsidRPr="00B66147" w:rsidRDefault="00DA6338" w:rsidP="00B66147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рублевой системы оплаты российского трубопроводного газа, из-за чего были прекращены поставки газа в Болгарию, Польшу, Финляндию, Данию и Нидерланды,</w:t>
      </w:r>
    </w:p>
    <w:p w:rsidR="00DA6338" w:rsidRPr="00B66147" w:rsidRDefault="00DA6338" w:rsidP="00B66147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российских контрсанкций, запретивших Газпрому пользоваться магистральным газопроводом (МГП) Ямал - Европа,</w:t>
      </w:r>
    </w:p>
    <w:p w:rsidR="00DA6338" w:rsidRPr="00B66147" w:rsidRDefault="00DA6338" w:rsidP="00B66147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объявленный украинской стороной форс-мажор по газоизмерительной станции (ГИС) Сохрановка и отказ Газпрома переориентировать потоки газа с этой ГИС, проходящие по украинской газотранспортной системе (ГТС), на ГИС Суджа,</w:t>
      </w:r>
    </w:p>
    <w:p w:rsidR="00DA6338" w:rsidRDefault="00DA6338" w:rsidP="00B66147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 прокачки по МГП Северный поток, из-за чего резко сократились поставки в Австрию, Чехию, Францию, Германию, Италию и Словакию.</w:t>
      </w:r>
    </w:p>
    <w:p w:rsidR="00B66147" w:rsidRDefault="00B66147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трубопроводный экспорт в европейские страны Организации экономического сотрудничества и развития (ОЭСР) сократился на 33% по сравнению с 1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полугодием 2021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Турцию поставки сократились на 8% за первые 5 месяцев, поставки газа в ЕС в 1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полугодии 2022 г. упали на 38% в годовом сравнении.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потоков из России и снижение внутренней добычи в ЕС было компенсировано увеличением поставок по трубопроводам из альтернативных источников и рекордными объемами притока сжиженного природного газа (СПГ).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по трубопроводу из Норвегии выросли более чем на 8%, поставки газа из Азербайджана по МГП TAP выросли более чем на 70%.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поставки газа из Северной Африки сократились на 15% из-за отсутствия поставок из Алжира по МГП Магриб - Европа и снижения ливийских поставок.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 СПГ в ЕС вырос на 60% и составил более 80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, 75% дополнительных объемов СПГ пришлось на поставки из США.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МЭА ожидает, что внутренняя добыча газа в европейских странах ОЭСР увеличится в 2022 г. на 3% за счет увеличения добычи в Норвегии и Великобритании.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имеющиеся мощности и предполагая, что потоки по МГП Северный поток останутся на текущем сниженном уровне в 63 млн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/сутки, МЭА прогнозирует снижение поставок российского газа в Европу на 40%, что в значительной степени будет компенсировано увеличением притока СПГ, ко</w:t>
      </w:r>
      <w:r w:rsid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вырастет более чем на 45%.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гг. МЭА ожидает сокращения поставок российского трубопроводного газа в ЕС на 55% по сравнению с 2021 г., до порядка 80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доля российского газа на рынке региона сократится до 20% (в 2021 г. ЕС импортировал из России 155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газа, что составляет 45% от объема импорта и 40% от потребления).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прогноз МЭА основывает на постепенном истечении сроков действий долгосрочных контрактов Газпрома на поставки газа.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МЭА предполагает, что запрет на использование МГП Ямал - Европа будет в среднесрочной перспективе препятствовать поставкам газа дочкам Gazprom Germania (в настоящее время находится под внешним управлением регулятора ФРГ).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ускорит постепенный отказ от российского газа, в результате чего к 2027 г. его поставки могут снизиться до 0.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МЭА не исключает полного прекращения поставок газа по инициативе России.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МЭА предупреждает, что рост мощностей по производству СПГ в мире в 2022-2025 гг. будет ограничен, поэтому любое увеличение импорта СПГ в ЕС сверх 120 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млрд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 приведет к дальнейшему росту напряженности на рынке СПГ с негативными последствиями для более чувствительных к ценам регионов-импортеров.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также стимулирует дальнейший рост европейских цены на газ и будет способствовать дополнительным доходам для России.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контексте МЭА в очередной раз призывает сосредоточится на ускоренном поэтапном отказе от российского газа за счет снижения спроса на газ и расширения производства низкоуглеродистых газов внутри ЕС.</w:t>
      </w: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Анонсированные ранее меры МЭА и ЕС по развитию возобновляемых источников энергии (ВИЭ), водородной энергетики, производству биометана и энергоэффективности, в совокупности могут привести к реализации ускоренного сценария отказа от российского газа, согласно которому российские поставки в ЕС снизятся в 2025 г. до 30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6338" w:rsidRDefault="00DA6338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российского газа</w:t>
      </w:r>
    </w:p>
    <w:p w:rsidR="005E38E2" w:rsidRPr="00B66147" w:rsidRDefault="005E38E2" w:rsidP="00B6614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активизирует усилия по перенаправлению экспорта трубопроводного газа и СПГ в Азию из-за постепенного отказа от российских поставок в ЕС.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на это потребуется значительное время - наращивание поставок газа в Азию до уровня, близкого к объему экспорта в 2021 г. в ЕС, т.е. 155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 России потребуется не менее 10 лет.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отставанием по переориентированию поставок газа на азиатские рынки МЭА ожидает суммарную потерю Россией добычи 480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газа за период 2022-2025 гг. из-за санкций и отказа стран ЕС от российского газа.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условиях ускоренного отказа от российского газа в Европе снижение добычи в 2022-2025 гг. может достигнуть 550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пострадает добыча газа на Ямале, а сроки запуска ряда проектов по добыче могут быть сдвинуты.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г. МЭА прогнозирует падение добычи газа в России на 12,3% по сравнению с 2021 г., до 668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продолжится в 2023 г. (до 665 млрд</w:t>
      </w:r>
      <w:r w:rsidR="005E3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в 2024 г. добыча начнет восстанавливаться и составит 688 млрд.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2025 г.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расчетах МЭА исходит из падения спроса на газ в России, которое в 2022 г. составит 3,4% (до 484 млрд.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причем к показателям 2021 г. (501 млрд.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спрос на газ в России не вернется, составив в 2025 г. 492 млрд. м</w:t>
      </w:r>
      <w:r w:rsidRPr="00B661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на текущий момент данные Газпрома по поставкам газа из ГТС на внутренний рынок не показывают падения спроса на газ, а стимулирование внутреннего рынка заявлено одним из ключевых направлений развития российского ТЭК в текущих внешнеполитических условиях.</w:t>
      </w:r>
    </w:p>
    <w:p w:rsidR="00DA6338" w:rsidRPr="00B66147" w:rsidRDefault="00DA6338" w:rsidP="00B661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сегменте природного газа речь идет о газификации, рынке газомоторного топлива и проектах переработки газа.</w:t>
      </w:r>
    </w:p>
    <w:p w:rsidR="00DA6338" w:rsidRPr="00B66147" w:rsidRDefault="00DA6338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6338" w:rsidRPr="00B66147" w:rsidRDefault="00DA6338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AC8" w:rsidRDefault="00353AC8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856" w:rsidRDefault="00426856" w:rsidP="00426856">
      <w:pPr>
        <w:spacing w:after="192" w:line="480" w:lineRule="atLeast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46"/>
          <w:szCs w:val="46"/>
          <w:lang w:eastAsia="ru-RU"/>
        </w:rPr>
      </w:pPr>
    </w:p>
    <w:p w:rsidR="00426856" w:rsidRPr="00284109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84109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Прогноз экспорта российского газа до 2023-2025гг.</w:t>
      </w:r>
      <w:r w:rsidRPr="00284109">
        <w:rPr>
          <w:rStyle w:val="a6"/>
          <w:rFonts w:ascii="Times New Roman" w:eastAsia="Times New Roman" w:hAnsi="Times New Roman" w:cs="Times New Roman"/>
          <w:b/>
          <w:bCs/>
          <w:spacing w:val="-5"/>
          <w:kern w:val="36"/>
          <w:sz w:val="24"/>
          <w:szCs w:val="24"/>
          <w:lang w:eastAsia="ru-RU"/>
        </w:rPr>
        <w:footnoteReference w:id="3"/>
      </w:r>
    </w:p>
    <w:p w:rsidR="00426856" w:rsidRPr="00284109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6856" w:rsidRPr="00284109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>Согласно пояснительной записке к проекту бюджета на 2023 год и на плановый период 2024-2025 годов, также ожидается снижение добычи газа до 683 млрд кубометров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>Экспорт природного газа из России в 2022 году может упасть на 31%, до 142 млрд. куб. м, следует из прогноза в пояснительной записке к проекту бюджета на 2023 год и на плановый период 2024-2025 годов.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>В 2023-2025 годах экспорт может составить 125,2 млрд. куб. м ежегодно.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>"Отказ Европейского союза от ввода уже построенного газопровода "Северный поток - 2" и планы по сокращению трубопроводных поставок российского газа приведут к падению добычи и экспорта, которые до 2025 года будут компенсироваться выходом на проектную мощность газопровода "Сила Сибири" и поставками газа по Дальневосточному маршруту. Рост внутреннего потребления и развитие производств по переработке газа позволят сохранить экспорт газа на уровне 125,2 млрд. куб. м в 2023-2025 годах и добычу на уровне 670,2-704,9 млрд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 xml:space="preserve"> куб. м соответственно", - уточняется в прогнозе социально-экономического развития РФ на 2023 год и на плановый период 2024-2025 годов.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>Добыча газа в текущем году может снизиться на 10,5% - до 683 млрд. кубометров. В 2023 году прогнозируется продолжение уменьшения добычи (до 670,2 млрд. куб. м), а затем постепенное увеличение - до 690,2 млрд. куб. м в 2024 г. и 704,9 млрд. куб. в 2025 году.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26856">
        <w:rPr>
          <w:rFonts w:ascii="Times New Roman" w:hAnsi="Times New Roman" w:cs="Times New Roman"/>
          <w:sz w:val="24"/>
          <w:szCs w:val="24"/>
          <w:lang w:eastAsia="ru-RU"/>
        </w:rPr>
        <w:t xml:space="preserve">Среднеконтрактная цена экспорта газа в 2022 году ожидается на уровне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691,2 долл. США за 1 тыс. куб. м против 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>274,3</w:t>
      </w:r>
      <w:r>
        <w:rPr>
          <w:rFonts w:ascii="Times New Roman" w:hAnsi="Times New Roman" w:cs="Times New Roman"/>
          <w:sz w:val="24"/>
          <w:szCs w:val="24"/>
          <w:lang w:eastAsia="ru-RU"/>
        </w:rPr>
        <w:t>долл. США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 xml:space="preserve"> в прошлом году. На 2023 год заложена цена $592,2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1 тыс. куб. м, на 2024 год - 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>477,1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долл. США за тыс. куб. м, на 2025 год - 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>400,1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долл. США </w:t>
      </w:r>
      <w:r w:rsidRPr="00426856">
        <w:rPr>
          <w:rFonts w:ascii="Times New Roman" w:hAnsi="Times New Roman" w:cs="Times New Roman"/>
          <w:sz w:val="24"/>
          <w:szCs w:val="24"/>
          <w:lang w:eastAsia="ru-RU"/>
        </w:rPr>
        <w:t xml:space="preserve"> за тыс. кубометров. </w:t>
      </w:r>
    </w:p>
    <w:p w:rsidR="00426856" w:rsidRPr="00426856" w:rsidRDefault="00426856" w:rsidP="004268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856" w:rsidRDefault="00426856" w:rsidP="0042685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8E2" w:rsidRPr="00B66147" w:rsidRDefault="005E38E2" w:rsidP="00B66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8E2" w:rsidRPr="00B66147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12" w:rsidRDefault="00C90212" w:rsidP="00DA6338">
      <w:pPr>
        <w:spacing w:after="0" w:line="240" w:lineRule="auto"/>
      </w:pPr>
      <w:r>
        <w:separator/>
      </w:r>
    </w:p>
  </w:endnote>
  <w:endnote w:type="continuationSeparator" w:id="1">
    <w:p w:rsidR="00C90212" w:rsidRDefault="00C90212" w:rsidP="00DA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12" w:rsidRDefault="00C90212" w:rsidP="00DA6338">
      <w:pPr>
        <w:spacing w:after="0" w:line="240" w:lineRule="auto"/>
      </w:pPr>
      <w:r>
        <w:separator/>
      </w:r>
    </w:p>
  </w:footnote>
  <w:footnote w:type="continuationSeparator" w:id="1">
    <w:p w:rsidR="00C90212" w:rsidRDefault="00C90212" w:rsidP="00DA6338">
      <w:pPr>
        <w:spacing w:after="0" w:line="240" w:lineRule="auto"/>
      </w:pPr>
      <w:r>
        <w:continuationSeparator/>
      </w:r>
    </w:p>
  </w:footnote>
  <w:footnote w:id="2">
    <w:p w:rsidR="00DA6338" w:rsidRPr="00DA6338" w:rsidRDefault="00DA6338">
      <w:pPr>
        <w:pStyle w:val="a4"/>
        <w:rPr>
          <w:rFonts w:ascii="Times New Roman" w:hAnsi="Times New Roman" w:cs="Times New Roman"/>
        </w:rPr>
      </w:pPr>
      <w:r w:rsidRPr="00DA6338">
        <w:rPr>
          <w:rStyle w:val="a6"/>
          <w:rFonts w:ascii="Times New Roman" w:hAnsi="Times New Roman" w:cs="Times New Roman"/>
        </w:rPr>
        <w:footnoteRef/>
      </w:r>
      <w:r w:rsidRPr="00DA6338">
        <w:rPr>
          <w:rFonts w:ascii="Times New Roman" w:hAnsi="Times New Roman" w:cs="Times New Roman"/>
        </w:rPr>
        <w:t xml:space="preserve"> </w:t>
      </w:r>
      <w:r w:rsidRPr="00DA6338">
        <w:rPr>
          <w:rFonts w:ascii="Times New Roman" w:eastAsia="Times New Roman" w:hAnsi="Times New Roman" w:cs="Times New Roman"/>
          <w:bCs/>
          <w:color w:val="000C24"/>
          <w:kern w:val="36"/>
          <w:lang w:eastAsia="ru-RU"/>
        </w:rPr>
        <w:t>Новые прогнозы МЭА. </w:t>
      </w:r>
      <w:r w:rsidRPr="00DA6338">
        <w:rPr>
          <w:rFonts w:ascii="Times New Roman" w:hAnsi="Times New Roman" w:cs="Times New Roman"/>
        </w:rPr>
        <w:t>https://neftegaz.ru/news/finance/742705-novye-prognozy-mea-sokrashchenie-mirovogo-sprosa-na-gaz-v-2022-g-padenie-rossiyskikh-postavok-v-evro/?ysclid=la2f7l86dc827611427</w:t>
      </w:r>
    </w:p>
  </w:footnote>
  <w:footnote w:id="3">
    <w:p w:rsidR="00426856" w:rsidRPr="00426856" w:rsidRDefault="00426856" w:rsidP="0042685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426856"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Экспорт газа России в 2022 году может упасть до 142 млрд куб. м</w:t>
      </w:r>
      <w:r w:rsidRPr="00426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hyperlink r:id="rId1" w:history="1">
        <w:r w:rsidRPr="00426856">
          <w:rPr>
            <w:rStyle w:val="a3"/>
            <w:rFonts w:ascii="Times New Roman" w:eastAsia="Times New Roman" w:hAnsi="Times New Roman" w:cs="Times New Roman"/>
            <w:bCs/>
            <w:color w:val="auto"/>
            <w:spacing w:val="-5"/>
            <w:kern w:val="36"/>
            <w:sz w:val="24"/>
            <w:szCs w:val="24"/>
            <w:u w:val="none"/>
            <w:lang w:eastAsia="ru-RU"/>
          </w:rPr>
          <w:t>https://tass.ru/ekonomika/15896975?ysclid=la2f50d8n3649931498</w:t>
        </w:r>
      </w:hyperlink>
      <w:r>
        <w:rPr>
          <w:rFonts w:ascii="Times New Roman" w:eastAsia="Times New Roman" w:hAnsi="Times New Roman" w:cs="Times New Roman"/>
          <w:bCs/>
          <w:spacing w:val="-5"/>
          <w:kern w:val="36"/>
          <w:sz w:val="24"/>
          <w:szCs w:val="24"/>
          <w:lang w:eastAsia="ru-RU"/>
        </w:rPr>
        <w:t>]</w:t>
      </w:r>
    </w:p>
    <w:p w:rsidR="00426856" w:rsidRDefault="00426856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09" w:rsidRPr="00284109" w:rsidRDefault="00284109" w:rsidP="0028410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284109">
      <w:rPr>
        <w:rFonts w:ascii="Times New Roman" w:hAnsi="Times New Roman" w:cs="Times New Roman"/>
        <w:sz w:val="24"/>
        <w:szCs w:val="24"/>
      </w:rPr>
      <w:t>ПРИЛОЖЕНИЕ 7</w:t>
    </w:r>
  </w:p>
  <w:p w:rsidR="00284109" w:rsidRDefault="002841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2634"/>
    <w:multiLevelType w:val="multilevel"/>
    <w:tmpl w:val="8B6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338"/>
    <w:rsid w:val="00284109"/>
    <w:rsid w:val="00353AC8"/>
    <w:rsid w:val="00426856"/>
    <w:rsid w:val="005E38E2"/>
    <w:rsid w:val="00B66147"/>
    <w:rsid w:val="00B755FC"/>
    <w:rsid w:val="00C90212"/>
    <w:rsid w:val="00D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3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A633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33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633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8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109"/>
  </w:style>
  <w:style w:type="paragraph" w:styleId="a9">
    <w:name w:val="footer"/>
    <w:basedOn w:val="a"/>
    <w:link w:val="aa"/>
    <w:uiPriority w:val="99"/>
    <w:semiHidden/>
    <w:unhideWhenUsed/>
    <w:rsid w:val="0028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4109"/>
  </w:style>
  <w:style w:type="paragraph" w:styleId="ab">
    <w:name w:val="Balloon Text"/>
    <w:basedOn w:val="a"/>
    <w:link w:val="ac"/>
    <w:uiPriority w:val="99"/>
    <w:semiHidden/>
    <w:unhideWhenUsed/>
    <w:rsid w:val="0028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ass.ru/ekonomika/15896975?ysclid=la2f50d8n3649931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51B0-BFA2-4680-864A-7F7A8971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2022-11-19T10:32:00Z</dcterms:created>
  <dcterms:modified xsi:type="dcterms:W3CDTF">2022-11-19T10:42:00Z</dcterms:modified>
</cp:coreProperties>
</file>