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1A" w:rsidRPr="00281E14" w:rsidRDefault="00ED741A" w:rsidP="00ED741A">
      <w:pPr>
        <w:spacing w:line="360" w:lineRule="auto"/>
        <w:ind w:firstLine="709"/>
        <w:jc w:val="both"/>
        <w:rPr>
          <w:sz w:val="28"/>
          <w:szCs w:val="28"/>
        </w:rPr>
      </w:pPr>
    </w:p>
    <w:p w:rsidR="00ED741A" w:rsidRPr="00F056D2" w:rsidRDefault="00ED741A" w:rsidP="00ED741A">
      <w:pPr>
        <w:pStyle w:val="-1"/>
        <w:ind w:firstLine="0"/>
        <w:jc w:val="center"/>
      </w:pPr>
      <w:r>
        <w:rPr>
          <w:noProof/>
        </w:rPr>
        <w:drawing>
          <wp:inline distT="0" distB="0" distL="0" distR="0">
            <wp:extent cx="5663936" cy="5664200"/>
            <wp:effectExtent l="19050" t="19050" r="12964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3-05-03 в 16.54.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126" cy="56603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741A" w:rsidRPr="00D64773" w:rsidRDefault="00ED741A" w:rsidP="00ED741A">
      <w:pPr>
        <w:pStyle w:val="-1"/>
        <w:jc w:val="center"/>
        <w:rPr>
          <w:i/>
          <w:sz w:val="24"/>
          <w:szCs w:val="24"/>
        </w:rPr>
      </w:pPr>
      <w:r w:rsidRPr="00D64773">
        <w:rPr>
          <w:i/>
          <w:sz w:val="24"/>
          <w:szCs w:val="24"/>
        </w:rPr>
        <w:t>Источник: Составлено автором на основе данных</w:t>
      </w:r>
      <w:r>
        <w:rPr>
          <w:i/>
          <w:sz w:val="24"/>
          <w:szCs w:val="24"/>
        </w:rPr>
        <w:t>[8]</w:t>
      </w:r>
    </w:p>
    <w:p w:rsidR="00ED741A" w:rsidRDefault="00ED741A" w:rsidP="00ED741A">
      <w:pPr>
        <w:pStyle w:val="-1"/>
        <w:jc w:val="center"/>
      </w:pPr>
      <w:r>
        <w:t xml:space="preserve">Рисунок А.1 – Структура корпоративного управления ПАО «ГАЗПРОМ» </w:t>
      </w:r>
    </w:p>
    <w:p w:rsidR="00D436F4" w:rsidRDefault="00D436F4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36F4" w:rsidRDefault="00D436F4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DA5" w:rsidRDefault="00772DA5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DA5" w:rsidRDefault="00772DA5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DA5" w:rsidRDefault="00772DA5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DA5" w:rsidRDefault="00772DA5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72DA5" w:rsidRPr="00281E14" w:rsidRDefault="00772DA5" w:rsidP="00772DA5">
      <w:pPr>
        <w:spacing w:line="360" w:lineRule="auto"/>
        <w:ind w:firstLine="709"/>
        <w:jc w:val="both"/>
        <w:rPr>
          <w:sz w:val="28"/>
          <w:szCs w:val="28"/>
        </w:rPr>
      </w:pPr>
    </w:p>
    <w:p w:rsidR="00772DA5" w:rsidRDefault="00772DA5" w:rsidP="00772DA5">
      <w:pPr>
        <w:pStyle w:val="-1"/>
      </w:pPr>
      <w:r>
        <w:rPr>
          <w:noProof/>
        </w:rPr>
        <w:lastRenderedPageBreak/>
        <w:pict>
          <v:rect id="_x0000_s1028" style="position:absolute;left:0;text-align:left;margin-left:.75pt;margin-top:9.65pt;width:472.8pt;height:157.15pt;z-index:251664384" fillcolor="white [3201]" strokecolor="black [3200]" strokeweight=".25pt">
            <v:shadow color="#868686"/>
            <v:textbox>
              <w:txbxContent>
                <w:p w:rsidR="00772DA5" w:rsidRDefault="00772DA5" w:rsidP="00772DA5">
                  <w:r w:rsidRPr="00D20425">
                    <w:rPr>
                      <w:noProof/>
                    </w:rPr>
                    <w:drawing>
                      <wp:inline distT="0" distB="0" distL="0" distR="0">
                        <wp:extent cx="5852160" cy="1943100"/>
                        <wp:effectExtent l="19050" t="0" r="15240" b="0"/>
                        <wp:docPr id="8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72DA5" w:rsidRDefault="00772DA5" w:rsidP="00772DA5">
      <w:pPr>
        <w:pStyle w:val="-1"/>
      </w:pPr>
    </w:p>
    <w:p w:rsidR="00772DA5" w:rsidRDefault="00772DA5" w:rsidP="00772DA5">
      <w:pPr>
        <w:pStyle w:val="-1"/>
      </w:pPr>
    </w:p>
    <w:p w:rsidR="00772DA5" w:rsidRDefault="00772DA5" w:rsidP="00772DA5">
      <w:pPr>
        <w:pStyle w:val="-1"/>
      </w:pPr>
    </w:p>
    <w:p w:rsidR="00772DA5" w:rsidRDefault="00772DA5" w:rsidP="00772DA5">
      <w:pPr>
        <w:pStyle w:val="-1"/>
      </w:pPr>
    </w:p>
    <w:p w:rsidR="00772DA5" w:rsidRDefault="00772DA5" w:rsidP="00772DA5">
      <w:pPr>
        <w:pStyle w:val="-1"/>
      </w:pPr>
    </w:p>
    <w:p w:rsidR="00772DA5" w:rsidRDefault="00772DA5" w:rsidP="00772DA5">
      <w:pPr>
        <w:pStyle w:val="-1"/>
      </w:pPr>
    </w:p>
    <w:p w:rsidR="00772DA5" w:rsidRPr="00D64773" w:rsidRDefault="00772DA5" w:rsidP="00772DA5">
      <w:pPr>
        <w:pStyle w:val="-1"/>
        <w:jc w:val="center"/>
        <w:rPr>
          <w:i/>
          <w:sz w:val="24"/>
          <w:szCs w:val="24"/>
        </w:rPr>
      </w:pPr>
      <w:r w:rsidRPr="00D64773">
        <w:rPr>
          <w:i/>
          <w:sz w:val="24"/>
          <w:szCs w:val="24"/>
        </w:rPr>
        <w:t>Источник: Составлено автором на основе данных</w:t>
      </w:r>
      <w:r>
        <w:rPr>
          <w:i/>
          <w:sz w:val="24"/>
          <w:szCs w:val="24"/>
        </w:rPr>
        <w:t>[8]</w:t>
      </w:r>
    </w:p>
    <w:p w:rsidR="00772DA5" w:rsidRDefault="00772DA5" w:rsidP="00772DA5">
      <w:pPr>
        <w:pStyle w:val="-1"/>
        <w:jc w:val="center"/>
      </w:pPr>
      <w:r>
        <w:t xml:space="preserve">Рисунок А.2-Динамика численности ПАО «Газпром» с 2020-2022гг. </w:t>
      </w:r>
    </w:p>
    <w:p w:rsidR="00772DA5" w:rsidRDefault="00772DA5" w:rsidP="00772DA5">
      <w:pPr>
        <w:pStyle w:val="-1"/>
        <w:jc w:val="center"/>
      </w:pPr>
      <w:r>
        <w:t>(на начало года)</w:t>
      </w: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21C4">
        <w:rPr>
          <w:noProof/>
          <w:sz w:val="28"/>
          <w:szCs w:val="28"/>
        </w:rPr>
        <w:pict>
          <v:rect id="_x0000_s1026" style="position:absolute;left:0;text-align:left;margin-left:-4.05pt;margin-top:4.3pt;width:478.8pt;height:234.45pt;z-index:251660288">
            <v:textbox>
              <w:txbxContent>
                <w:p w:rsidR="00A74D26" w:rsidRDefault="00A74D26" w:rsidP="00A74D26">
                  <w:r w:rsidRPr="002047D7">
                    <w:rPr>
                      <w:noProof/>
                    </w:rPr>
                    <w:drawing>
                      <wp:inline distT="0" distB="0" distL="0" distR="0">
                        <wp:extent cx="5947410" cy="2865120"/>
                        <wp:effectExtent l="19050" t="0" r="1524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04B4A" w:rsidRDefault="00704B4A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704B4A" w:rsidRDefault="00704B4A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  <w:r w:rsidRPr="00894D65">
        <w:rPr>
          <w:i/>
          <w:sz w:val="24"/>
          <w:szCs w:val="24"/>
        </w:rPr>
        <w:t>Источник: Составлено автор</w:t>
      </w:r>
      <w:r>
        <w:rPr>
          <w:i/>
          <w:sz w:val="24"/>
          <w:szCs w:val="24"/>
        </w:rPr>
        <w:t>ом на основе данных</w:t>
      </w:r>
      <w:r w:rsidRPr="00894D6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3</w:t>
      </w:r>
      <w:r w:rsidRPr="00894D6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[7]</w:t>
      </w:r>
    </w:p>
    <w:p w:rsidR="00A74D26" w:rsidRPr="00894D65" w:rsidRDefault="00A74D26" w:rsidP="00A74D26">
      <w:pPr>
        <w:spacing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94D65">
        <w:rPr>
          <w:rFonts w:eastAsiaTheme="minorHAnsi"/>
          <w:sz w:val="28"/>
          <w:szCs w:val="28"/>
          <w:lang w:eastAsia="en-US"/>
        </w:rPr>
        <w:t xml:space="preserve">Рисунок </w:t>
      </w:r>
      <w:r w:rsidR="00C42CA7">
        <w:rPr>
          <w:rFonts w:eastAsiaTheme="minorHAnsi"/>
          <w:sz w:val="28"/>
          <w:szCs w:val="28"/>
          <w:lang w:eastAsia="en-US"/>
        </w:rPr>
        <w:t>А.3</w:t>
      </w:r>
      <w:r w:rsidRPr="00894D65">
        <w:rPr>
          <w:rFonts w:eastAsiaTheme="minorHAnsi"/>
          <w:sz w:val="28"/>
          <w:szCs w:val="28"/>
          <w:lang w:eastAsia="en-US"/>
        </w:rPr>
        <w:t xml:space="preserve">- Динамика капитала компании </w:t>
      </w:r>
      <w:r w:rsidRPr="00894D65">
        <w:rPr>
          <w:sz w:val="28"/>
          <w:szCs w:val="28"/>
        </w:rPr>
        <w:t>ПАО «Газпром» с 2020-2022гг.</w:t>
      </w:r>
    </w:p>
    <w:p w:rsidR="00A74D26" w:rsidRDefault="00A74D26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4D26" w:rsidRDefault="00A74D26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4D26" w:rsidRDefault="00A74D26" w:rsidP="00A74D26">
      <w:pPr>
        <w:pStyle w:val="-1"/>
        <w:ind w:firstLine="709"/>
        <w:rPr>
          <w:rFonts w:eastAsiaTheme="minorHAnsi"/>
        </w:rPr>
      </w:pPr>
    </w:p>
    <w:p w:rsidR="00704B4A" w:rsidRDefault="00704B4A" w:rsidP="00A74D26">
      <w:pPr>
        <w:pStyle w:val="-1"/>
        <w:ind w:firstLine="709"/>
        <w:rPr>
          <w:rFonts w:eastAsiaTheme="minorHAnsi"/>
        </w:rPr>
      </w:pPr>
    </w:p>
    <w:p w:rsidR="00704B4A" w:rsidRDefault="00704B4A" w:rsidP="00A74D26">
      <w:pPr>
        <w:pStyle w:val="-1"/>
        <w:ind w:firstLine="709"/>
        <w:rPr>
          <w:rFonts w:eastAsiaTheme="minorHAnsi"/>
        </w:rPr>
      </w:pPr>
    </w:p>
    <w:p w:rsidR="00C42CA7" w:rsidRPr="00894D65" w:rsidRDefault="00C42CA7" w:rsidP="00C42C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42CA7" w:rsidRDefault="00C42CA7" w:rsidP="00C42CA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9" style="position:absolute;left:0;text-align:left;margin-left:-2.85pt;margin-top:12.65pt;width:467.4pt;height:180.15pt;z-index:251666432">
            <v:textbox>
              <w:txbxContent>
                <w:p w:rsidR="00C42CA7" w:rsidRDefault="00C42CA7" w:rsidP="00C42CA7">
                  <w:r w:rsidRPr="00DE7244">
                    <w:rPr>
                      <w:noProof/>
                    </w:rPr>
                    <w:drawing>
                      <wp:inline distT="0" distB="0" distL="0" distR="0">
                        <wp:extent cx="5806440" cy="2209800"/>
                        <wp:effectExtent l="19050" t="0" r="22860" b="0"/>
                        <wp:docPr id="21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42CA7" w:rsidRDefault="00C42CA7" w:rsidP="00C42C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42CA7" w:rsidRDefault="00C42CA7" w:rsidP="00C42C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42CA7" w:rsidRPr="00894D65" w:rsidRDefault="00C42CA7" w:rsidP="00C42C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42CA7" w:rsidRPr="00894D65" w:rsidRDefault="00C42CA7" w:rsidP="00C42CA7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42CA7" w:rsidRDefault="00C42CA7" w:rsidP="00C42CA7">
      <w:pPr>
        <w:pStyle w:val="-1"/>
      </w:pPr>
    </w:p>
    <w:p w:rsidR="00C42CA7" w:rsidRDefault="00C42CA7" w:rsidP="00C42CA7">
      <w:pPr>
        <w:pStyle w:val="-1"/>
      </w:pPr>
    </w:p>
    <w:p w:rsidR="00C42CA7" w:rsidRDefault="00C42CA7" w:rsidP="00C42CA7">
      <w:pPr>
        <w:pStyle w:val="-1"/>
      </w:pPr>
    </w:p>
    <w:p w:rsidR="00C42CA7" w:rsidRPr="00894D65" w:rsidRDefault="00C42CA7" w:rsidP="00C42CA7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  <w:r w:rsidRPr="00894D65">
        <w:rPr>
          <w:i/>
          <w:sz w:val="24"/>
          <w:szCs w:val="24"/>
        </w:rPr>
        <w:t>Источник: Соста</w:t>
      </w:r>
      <w:r>
        <w:rPr>
          <w:i/>
          <w:sz w:val="24"/>
          <w:szCs w:val="24"/>
        </w:rPr>
        <w:t>влено автором на основе данных</w:t>
      </w:r>
      <w:r w:rsidRPr="00894D6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3</w:t>
      </w:r>
      <w:r w:rsidRPr="00894D6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[7]</w:t>
      </w:r>
    </w:p>
    <w:p w:rsidR="00C42CA7" w:rsidRDefault="00C42CA7" w:rsidP="00C42CA7">
      <w:pPr>
        <w:pStyle w:val="-1"/>
        <w:jc w:val="center"/>
      </w:pPr>
      <w:r>
        <w:t>Рисунок А.4-</w:t>
      </w:r>
      <w:r w:rsidRPr="00DE72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Pr="00894D65">
        <w:rPr>
          <w:rFonts w:eastAsiaTheme="minorHAnsi"/>
          <w:lang w:eastAsia="en-US"/>
        </w:rPr>
        <w:t>труктур</w:t>
      </w:r>
      <w:r>
        <w:rPr>
          <w:rFonts w:eastAsiaTheme="minorHAnsi"/>
          <w:lang w:eastAsia="en-US"/>
        </w:rPr>
        <w:t>а</w:t>
      </w:r>
      <w:r w:rsidRPr="00894D65">
        <w:rPr>
          <w:rFonts w:eastAsiaTheme="minorHAnsi"/>
          <w:lang w:eastAsia="en-US"/>
        </w:rPr>
        <w:t xml:space="preserve"> капитала компании </w:t>
      </w:r>
      <w:r w:rsidRPr="00894D65">
        <w:t>ПАО «Газпром»</w:t>
      </w:r>
      <w:r>
        <w:t xml:space="preserve"> в 2022 году</w:t>
      </w:r>
    </w:p>
    <w:p w:rsidR="00A74D26" w:rsidRDefault="00A74D26" w:rsidP="00A74D26">
      <w:pPr>
        <w:pStyle w:val="-1"/>
        <w:ind w:firstLine="709"/>
        <w:rPr>
          <w:rFonts w:eastAsiaTheme="minorHAnsi"/>
        </w:rPr>
      </w:pPr>
    </w:p>
    <w:p w:rsidR="003A3DB0" w:rsidRDefault="003A3DB0" w:rsidP="003A3DB0">
      <w:pPr>
        <w:pStyle w:val="-1"/>
        <w:ind w:firstLine="709"/>
        <w:rPr>
          <w:rFonts w:eastAsiaTheme="minorHAnsi"/>
        </w:rPr>
      </w:pPr>
    </w:p>
    <w:p w:rsidR="003A3DB0" w:rsidRPr="004765A3" w:rsidRDefault="003A3DB0" w:rsidP="003A3DB0">
      <w:pPr>
        <w:pStyle w:val="-1"/>
        <w:ind w:firstLine="709"/>
      </w:pPr>
      <w:r>
        <w:rPr>
          <w:noProof/>
        </w:rPr>
        <w:pict>
          <v:rect id="_x0000_s1031" style="position:absolute;left:0;text-align:left;margin-left:-4.05pt;margin-top:10.2pt;width:473.4pt;height:315.1pt;z-index:251670528">
            <v:textbox>
              <w:txbxContent>
                <w:p w:rsidR="003A3DB0" w:rsidRDefault="003A3DB0" w:rsidP="003A3DB0">
                  <w:r w:rsidRPr="0050176D">
                    <w:rPr>
                      <w:noProof/>
                    </w:rPr>
                    <w:drawing>
                      <wp:inline distT="0" distB="0" distL="0" distR="0">
                        <wp:extent cx="5823585" cy="3901440"/>
                        <wp:effectExtent l="19050" t="0" r="24765" b="3810"/>
                        <wp:docPr id="49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Pr="004765A3" w:rsidRDefault="003A3DB0" w:rsidP="003A3DB0">
      <w:pPr>
        <w:pStyle w:val="-1"/>
        <w:ind w:firstLine="709"/>
      </w:pPr>
    </w:p>
    <w:p w:rsidR="003A3DB0" w:rsidRDefault="003A3DB0" w:rsidP="003A3DB0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3A3DB0" w:rsidRDefault="003A3DB0" w:rsidP="003A3DB0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3A3DB0" w:rsidRDefault="003A3DB0" w:rsidP="003A3DB0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3A3DB0" w:rsidRDefault="003A3DB0" w:rsidP="003A3DB0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3A3DB0" w:rsidRPr="00894D65" w:rsidRDefault="003A3DB0" w:rsidP="003A3DB0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  <w:r w:rsidRPr="00894D65">
        <w:rPr>
          <w:i/>
          <w:sz w:val="24"/>
          <w:szCs w:val="24"/>
        </w:rPr>
        <w:t>Источник: Соста</w:t>
      </w:r>
      <w:r>
        <w:rPr>
          <w:i/>
          <w:sz w:val="24"/>
          <w:szCs w:val="24"/>
        </w:rPr>
        <w:t>влено автором на основе данных</w:t>
      </w:r>
      <w:r w:rsidRPr="00894D6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3</w:t>
      </w:r>
      <w:r w:rsidRPr="00894D6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[7]</w:t>
      </w:r>
    </w:p>
    <w:p w:rsidR="003A3DB0" w:rsidRPr="004765A3" w:rsidRDefault="003A3DB0" w:rsidP="003A3DB0">
      <w:pPr>
        <w:pStyle w:val="-1"/>
        <w:ind w:firstLine="709"/>
      </w:pPr>
      <w:r>
        <w:t>Рисунок А.5</w:t>
      </w:r>
      <w:r w:rsidRPr="004765A3">
        <w:t>-Структура продаж компании ПАО «Газпром» в 2022 году</w:t>
      </w:r>
    </w:p>
    <w:p w:rsidR="00A74D26" w:rsidRDefault="00A74D26" w:rsidP="00A74D26">
      <w:pPr>
        <w:pStyle w:val="-1"/>
        <w:ind w:firstLine="709"/>
        <w:rPr>
          <w:rFonts w:eastAsiaTheme="minorHAnsi"/>
        </w:rPr>
      </w:pPr>
    </w:p>
    <w:p w:rsidR="00A74D26" w:rsidRDefault="00A74D26" w:rsidP="00A74D26">
      <w:pPr>
        <w:pStyle w:val="-1"/>
        <w:ind w:firstLine="709"/>
        <w:rPr>
          <w:rFonts w:eastAsiaTheme="minorHAnsi"/>
        </w:rPr>
      </w:pPr>
    </w:p>
    <w:p w:rsidR="00A74D26" w:rsidRPr="004765A3" w:rsidRDefault="00A74D26" w:rsidP="00A74D26">
      <w:pPr>
        <w:pStyle w:val="-1"/>
        <w:ind w:firstLine="709"/>
        <w:rPr>
          <w:rFonts w:eastAsiaTheme="minorHAnsi"/>
        </w:rPr>
      </w:pPr>
      <w:r>
        <w:rPr>
          <w:rFonts w:eastAsiaTheme="minorHAnsi"/>
          <w:noProof/>
        </w:rPr>
        <w:lastRenderedPageBreak/>
        <w:pict>
          <v:rect id="_x0000_s1027" style="position:absolute;left:0;text-align:left;margin-left:-1.65pt;margin-top:.3pt;width:479.4pt;height:357.15pt;z-index:251662336">
            <v:textbox>
              <w:txbxContent>
                <w:p w:rsidR="00A74D26" w:rsidRDefault="00A74D26" w:rsidP="00A74D26">
                  <w:r w:rsidRPr="007A6B6D">
                    <w:rPr>
                      <w:noProof/>
                    </w:rPr>
                    <w:drawing>
                      <wp:inline distT="0" distB="0" distL="0" distR="0">
                        <wp:extent cx="5899785" cy="4488180"/>
                        <wp:effectExtent l="19050" t="0" r="24765" b="7620"/>
                        <wp:docPr id="50" name="Диаграмма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74D26" w:rsidRPr="004765A3" w:rsidRDefault="00A74D26" w:rsidP="00A74D26">
      <w:pPr>
        <w:pStyle w:val="-1"/>
        <w:ind w:firstLine="709"/>
        <w:rPr>
          <w:rFonts w:eastAsiaTheme="minorHAnsi"/>
        </w:rPr>
      </w:pPr>
    </w:p>
    <w:p w:rsidR="00A74D26" w:rsidRPr="004765A3" w:rsidRDefault="00A74D26" w:rsidP="00A74D26">
      <w:pPr>
        <w:pStyle w:val="-1"/>
        <w:ind w:firstLine="709"/>
        <w:rPr>
          <w:rFonts w:eastAsiaTheme="minorHAnsi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pStyle w:val="-1"/>
        <w:ind w:firstLine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</w:p>
    <w:p w:rsidR="00A74D26" w:rsidRPr="00894D65" w:rsidRDefault="00A74D26" w:rsidP="00A74D26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  <w:r w:rsidRPr="00894D65">
        <w:rPr>
          <w:i/>
          <w:sz w:val="24"/>
          <w:szCs w:val="24"/>
        </w:rPr>
        <w:t>Источник: Соста</w:t>
      </w:r>
      <w:r>
        <w:rPr>
          <w:i/>
          <w:sz w:val="24"/>
          <w:szCs w:val="24"/>
        </w:rPr>
        <w:t>влено автором на основе данных</w:t>
      </w:r>
      <w:r w:rsidRPr="00894D6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3</w:t>
      </w:r>
      <w:r w:rsidRPr="00894D6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[7]</w:t>
      </w:r>
    </w:p>
    <w:p w:rsidR="00A74D26" w:rsidRDefault="00A74D26" w:rsidP="00A74D26">
      <w:pPr>
        <w:pStyle w:val="-1"/>
        <w:jc w:val="center"/>
      </w:pPr>
      <w:r>
        <w:t>Рисунок А.</w:t>
      </w:r>
      <w:r w:rsidR="003A3DB0">
        <w:t>6</w:t>
      </w:r>
      <w:r>
        <w:t xml:space="preserve">-Динамика продаж по видам продукции </w:t>
      </w:r>
      <w:r w:rsidRPr="004765A3">
        <w:t>компании ПАО «Газпром»</w:t>
      </w:r>
      <w:r>
        <w:t xml:space="preserve"> с 2020-2022гг.</w:t>
      </w:r>
    </w:p>
    <w:p w:rsidR="00F55F09" w:rsidRPr="000631C7" w:rsidRDefault="00F55F09" w:rsidP="00F55F09">
      <w:pPr>
        <w:pStyle w:val="-1"/>
        <w:ind w:firstLine="709"/>
      </w:pPr>
      <w:r>
        <w:rPr>
          <w:noProof/>
        </w:rPr>
        <w:pict>
          <v:rect id="_x0000_s1030" style="position:absolute;left:0;text-align:left;margin-left:1.95pt;margin-top:16.05pt;width:474pt;height:177.3pt;z-index:251668480">
            <v:textbox>
              <w:txbxContent>
                <w:p w:rsidR="00F55F09" w:rsidRDefault="00F55F09" w:rsidP="00F55F09">
                  <w:r w:rsidRPr="002D3A3E">
                    <w:rPr>
                      <w:noProof/>
                    </w:rPr>
                    <w:drawing>
                      <wp:inline distT="0" distB="0" distL="0" distR="0">
                        <wp:extent cx="5878830" cy="2419350"/>
                        <wp:effectExtent l="19050" t="0" r="26670" b="0"/>
                        <wp:docPr id="51" name="Диаграмма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55F09" w:rsidRDefault="00F55F09" w:rsidP="00F55F09">
      <w:pPr>
        <w:pStyle w:val="-1"/>
      </w:pPr>
    </w:p>
    <w:p w:rsidR="00F55F09" w:rsidRDefault="00F55F09" w:rsidP="00F55F09">
      <w:pPr>
        <w:pStyle w:val="-1"/>
      </w:pPr>
    </w:p>
    <w:p w:rsidR="00F55F09" w:rsidRDefault="00F55F09" w:rsidP="00F55F09">
      <w:pPr>
        <w:pStyle w:val="-1"/>
      </w:pPr>
    </w:p>
    <w:p w:rsidR="00F55F09" w:rsidRDefault="00F55F09" w:rsidP="00F55F09">
      <w:pPr>
        <w:pStyle w:val="-1"/>
      </w:pPr>
    </w:p>
    <w:p w:rsidR="00F55F09" w:rsidRDefault="00F55F09" w:rsidP="00F55F09">
      <w:pPr>
        <w:pStyle w:val="-1"/>
      </w:pPr>
    </w:p>
    <w:p w:rsidR="00F55F09" w:rsidRDefault="00F55F09" w:rsidP="00F55F09">
      <w:pPr>
        <w:pStyle w:val="-1"/>
      </w:pPr>
    </w:p>
    <w:p w:rsidR="00F55F09" w:rsidRDefault="00F55F09" w:rsidP="00F55F09">
      <w:pPr>
        <w:pStyle w:val="-1"/>
      </w:pPr>
    </w:p>
    <w:p w:rsidR="00F55F09" w:rsidRPr="00894D65" w:rsidRDefault="00F55F09" w:rsidP="00F55F09">
      <w:pPr>
        <w:spacing w:line="360" w:lineRule="auto"/>
        <w:ind w:firstLine="709"/>
        <w:contextualSpacing/>
        <w:jc w:val="center"/>
        <w:rPr>
          <w:i/>
          <w:sz w:val="24"/>
          <w:szCs w:val="24"/>
        </w:rPr>
      </w:pPr>
      <w:r w:rsidRPr="00894D65">
        <w:rPr>
          <w:i/>
          <w:sz w:val="24"/>
          <w:szCs w:val="24"/>
        </w:rPr>
        <w:t>Источник: Составлен</w:t>
      </w:r>
      <w:r>
        <w:rPr>
          <w:i/>
          <w:sz w:val="24"/>
          <w:szCs w:val="24"/>
        </w:rPr>
        <w:t>о автором на основе данных</w:t>
      </w:r>
      <w:r w:rsidRPr="00894D65">
        <w:rPr>
          <w:i/>
          <w:sz w:val="24"/>
          <w:szCs w:val="24"/>
        </w:rPr>
        <w:t>[</w:t>
      </w:r>
      <w:r>
        <w:rPr>
          <w:i/>
          <w:sz w:val="24"/>
          <w:szCs w:val="24"/>
        </w:rPr>
        <w:t>3</w:t>
      </w:r>
      <w:r w:rsidRPr="00894D65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[7]</w:t>
      </w:r>
    </w:p>
    <w:p w:rsidR="00F55F09" w:rsidRDefault="00F55F09" w:rsidP="00F55F09">
      <w:pPr>
        <w:pStyle w:val="-1"/>
        <w:jc w:val="center"/>
      </w:pPr>
      <w:r>
        <w:t xml:space="preserve">Рисунок </w:t>
      </w:r>
      <w:r w:rsidR="003A3DB0">
        <w:t>А.7</w:t>
      </w:r>
      <w:r>
        <w:t xml:space="preserve">-Динамика себестоимости продаж </w:t>
      </w:r>
      <w:r w:rsidRPr="004765A3">
        <w:t>компании ПАО «Газпром»</w:t>
      </w:r>
      <w:r>
        <w:t xml:space="preserve"> с 2020-2022гг.</w:t>
      </w:r>
    </w:p>
    <w:p w:rsidR="00A74D26" w:rsidRDefault="00A74D26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36F4" w:rsidRPr="00A43855" w:rsidRDefault="00D436F4" w:rsidP="00D436F4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43855">
        <w:rPr>
          <w:rFonts w:eastAsiaTheme="minorHAnsi"/>
          <w:bCs/>
          <w:sz w:val="28"/>
          <w:szCs w:val="28"/>
          <w:lang w:eastAsia="en-US"/>
        </w:rPr>
        <w:lastRenderedPageBreak/>
        <w:t xml:space="preserve">Таблица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A43855">
        <w:rPr>
          <w:rFonts w:eastAsiaTheme="minorHAnsi"/>
          <w:bCs/>
          <w:sz w:val="28"/>
          <w:szCs w:val="28"/>
          <w:lang w:eastAsia="en-US"/>
        </w:rPr>
        <w:t>.1- Нормативные значения СЦП общекорпоративного уровня</w:t>
      </w:r>
    </w:p>
    <w:p w:rsidR="00D436F4" w:rsidRPr="00A43855" w:rsidRDefault="00D436F4" w:rsidP="00D436F4">
      <w:pPr>
        <w:spacing w:line="360" w:lineRule="auto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A43855">
        <w:rPr>
          <w:rFonts w:eastAsiaTheme="minorHAnsi"/>
          <w:bCs/>
          <w:sz w:val="28"/>
          <w:szCs w:val="28"/>
          <w:lang w:eastAsia="en-US"/>
        </w:rPr>
        <w:t>на конец 10-летнего периода компании ПАО «Газпром»[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A43855">
        <w:rPr>
          <w:rFonts w:eastAsiaTheme="minorHAnsi"/>
          <w:bCs/>
          <w:sz w:val="28"/>
          <w:szCs w:val="28"/>
          <w:lang w:eastAsia="en-US"/>
        </w:rPr>
        <w:t>]</w:t>
      </w:r>
    </w:p>
    <w:tbl>
      <w:tblPr>
        <w:tblStyle w:val="a9"/>
        <w:tblW w:w="0" w:type="auto"/>
        <w:tblLook w:val="04A0"/>
      </w:tblPr>
      <w:tblGrid>
        <w:gridCol w:w="6204"/>
        <w:gridCol w:w="3366"/>
      </w:tblGrid>
      <w:tr w:rsidR="00D436F4" w:rsidTr="008B5983"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Нормативное значение</w:t>
            </w:r>
          </w:p>
        </w:tc>
      </w:tr>
      <w:tr w:rsidR="00D436F4" w:rsidTr="008B5983"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Рост экономической прибыли</w:t>
            </w: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Положительный</w:t>
            </w:r>
          </w:p>
        </w:tc>
      </w:tr>
      <w:tr w:rsidR="00D436F4" w:rsidTr="008B5983">
        <w:trPr>
          <w:trHeight w:val="291"/>
        </w:trPr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Соотношение заемного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и собственного капитала</w:t>
            </w: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Не более 40 %</w:t>
            </w:r>
          </w:p>
        </w:tc>
      </w:tr>
      <w:tr w:rsidR="00D436F4" w:rsidTr="008B5983">
        <w:trPr>
          <w:trHeight w:val="112"/>
        </w:trPr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Объем переработки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углеводородов</w:t>
            </w: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Не менее 150 млн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 xml:space="preserve"> т у. т.</w:t>
            </w:r>
          </w:p>
        </w:tc>
      </w:tr>
      <w:tr w:rsidR="00D436F4" w:rsidTr="008B5983">
        <w:trPr>
          <w:trHeight w:val="271"/>
        </w:trPr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Коэффициент восполнения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запасов углеводородов</w:t>
            </w: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Не менее 1</w:t>
            </w:r>
          </w:p>
        </w:tc>
      </w:tr>
      <w:tr w:rsidR="00D436F4" w:rsidTr="008B5983">
        <w:trPr>
          <w:trHeight w:val="360"/>
        </w:trPr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Совокупная установленная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мощность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Не менее 100 ГВт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6F4" w:rsidTr="008B5983">
        <w:trPr>
          <w:trHeight w:val="132"/>
        </w:trPr>
        <w:tc>
          <w:tcPr>
            <w:tcW w:w="6204" w:type="dxa"/>
          </w:tcPr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Мощности пика в осенне-зимний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период в зоне ЕСГ</w:t>
            </w:r>
          </w:p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</w:tcPr>
          <w:p w:rsidR="00D436F4" w:rsidRPr="00A43855" w:rsidRDefault="00D436F4" w:rsidP="006F7301">
            <w:pPr>
              <w:ind w:firstLine="0"/>
              <w:rPr>
                <w:sz w:val="24"/>
                <w:szCs w:val="24"/>
              </w:rPr>
            </w:pPr>
            <w:r w:rsidRPr="00A43855">
              <w:rPr>
                <w:rFonts w:eastAsiaTheme="minorHAnsi"/>
                <w:sz w:val="24"/>
                <w:szCs w:val="24"/>
                <w:lang w:eastAsia="en-US"/>
              </w:rPr>
              <w:t>Не менее 2 550 млн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43855">
              <w:rPr>
                <w:rFonts w:eastAsiaTheme="minorHAnsi"/>
                <w:sz w:val="24"/>
                <w:szCs w:val="24"/>
                <w:lang w:eastAsia="en-US"/>
              </w:rPr>
              <w:t xml:space="preserve"> м3/сут.</w:t>
            </w:r>
          </w:p>
          <w:p w:rsidR="00D436F4" w:rsidRPr="00A43855" w:rsidRDefault="00D436F4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F7301" w:rsidRPr="00951585" w:rsidRDefault="006F7301" w:rsidP="006F730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А.2</w:t>
      </w:r>
      <w:r w:rsidRPr="00951585">
        <w:rPr>
          <w:rFonts w:eastAsiaTheme="minorHAnsi"/>
          <w:sz w:val="28"/>
          <w:szCs w:val="28"/>
          <w:lang w:eastAsia="en-US"/>
        </w:rPr>
        <w:t>-</w:t>
      </w:r>
      <w:r w:rsidRPr="00951585">
        <w:rPr>
          <w:sz w:val="28"/>
          <w:szCs w:val="28"/>
        </w:rPr>
        <w:t xml:space="preserve"> Основные проблемы, которые решает ЕЦП[</w:t>
      </w:r>
      <w:r>
        <w:rPr>
          <w:sz w:val="28"/>
          <w:szCs w:val="28"/>
        </w:rPr>
        <w:t>6</w:t>
      </w:r>
      <w:r w:rsidRPr="00951585">
        <w:rPr>
          <w:sz w:val="28"/>
          <w:szCs w:val="28"/>
        </w:rPr>
        <w:t>]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2835"/>
        <w:gridCol w:w="5919"/>
      </w:tblGrid>
      <w:tr w:rsidR="006F7301" w:rsidTr="008B5983">
        <w:tc>
          <w:tcPr>
            <w:tcW w:w="817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Направления деятельности</w:t>
            </w: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color w:val="000000"/>
                <w:sz w:val="24"/>
                <w:szCs w:val="24"/>
              </w:rPr>
              <w:t>Проблемы, которые решает ЕЦП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F7301" w:rsidTr="008B5983">
        <w:trPr>
          <w:trHeight w:val="622"/>
        </w:trPr>
        <w:tc>
          <w:tcPr>
            <w:tcW w:w="817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ПРОЕКТНОЕ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Решение происходящих на площадке проблем и прогнозирование новых</w:t>
            </w:r>
          </w:p>
        </w:tc>
      </w:tr>
      <w:tr w:rsidR="006F7301" w:rsidTr="008B5983">
        <w:trPr>
          <w:trHeight w:val="1214"/>
        </w:trPr>
        <w:tc>
          <w:tcPr>
            <w:tcW w:w="817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Сокращение затрат на получение и анализ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информации о том «как построено» в процессе проведения работ и после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сдачи объекта в эксплуатацию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6F7301" w:rsidTr="008B5983">
        <w:trPr>
          <w:trHeight w:val="288"/>
        </w:trPr>
        <w:tc>
          <w:tcPr>
            <w:tcW w:w="817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СТРОИТЕЛЬНЫЙ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ПОДРЯДЧИК</w:t>
            </w: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Ведение строительно-монтажных работ по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актуальной документации.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Сокращение временных и финансовых затрат на корректировку, а так же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оплату фактически выполненных работ.</w:t>
            </w:r>
          </w:p>
        </w:tc>
      </w:tr>
      <w:tr w:rsidR="006F7301" w:rsidTr="008B5983">
        <w:trPr>
          <w:trHeight w:val="517"/>
        </w:trPr>
        <w:tc>
          <w:tcPr>
            <w:tcW w:w="817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Соблюдение графика материально-технического обеспечения строительно-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монтажных работ.</w:t>
            </w:r>
          </w:p>
        </w:tc>
      </w:tr>
      <w:tr w:rsidR="006F7301" w:rsidTr="008B5983">
        <w:trPr>
          <w:trHeight w:val="1092"/>
        </w:trPr>
        <w:tc>
          <w:tcPr>
            <w:tcW w:w="817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ПРОЕКТНЫЙ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Учет информации о существующих конструкциях и технических возможностях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об объекте капитального строительства 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расширении или реконструкции объекта.</w:t>
            </w:r>
          </w:p>
        </w:tc>
      </w:tr>
      <w:tr w:rsidR="006F7301" w:rsidTr="008B5983">
        <w:trPr>
          <w:trHeight w:val="541"/>
        </w:trPr>
        <w:tc>
          <w:tcPr>
            <w:tcW w:w="817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Анализ коллизий при разработке смежных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дисциплин проектно-сметной документации.</w:t>
            </w:r>
          </w:p>
        </w:tc>
      </w:tr>
      <w:tr w:rsidR="006F7301" w:rsidTr="008B5983">
        <w:trPr>
          <w:trHeight w:val="833"/>
        </w:trPr>
        <w:tc>
          <w:tcPr>
            <w:tcW w:w="817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Merge w:val="restart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ГОСУДАРСТВЕННЫЕ</w:t>
            </w:r>
          </w:p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ОРГАНЫ</w:t>
            </w: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Автоматизация документооборота (чертежи, документация)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государственными надзорными органами.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F7301" w:rsidTr="008B5983">
        <w:trPr>
          <w:trHeight w:val="264"/>
        </w:trPr>
        <w:tc>
          <w:tcPr>
            <w:tcW w:w="817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19" w:type="dxa"/>
          </w:tcPr>
          <w:p w:rsidR="006F7301" w:rsidRPr="00951585" w:rsidRDefault="006F7301" w:rsidP="006F730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51585">
              <w:rPr>
                <w:rFonts w:eastAsiaTheme="minorHAnsi"/>
                <w:sz w:val="24"/>
                <w:szCs w:val="24"/>
                <w:lang w:eastAsia="en-US"/>
              </w:rPr>
              <w:t>Своевременное согласование изменений в проекте.</w:t>
            </w:r>
          </w:p>
        </w:tc>
      </w:tr>
    </w:tbl>
    <w:p w:rsidR="005A24BF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24BF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24BF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24BF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24BF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24BF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A24BF" w:rsidRPr="00951585" w:rsidRDefault="005A24BF" w:rsidP="005A24BF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951585">
        <w:rPr>
          <w:rFonts w:eastAsiaTheme="minorHAnsi"/>
          <w:sz w:val="28"/>
          <w:szCs w:val="28"/>
          <w:lang w:eastAsia="en-US"/>
        </w:rPr>
        <w:lastRenderedPageBreak/>
        <w:t xml:space="preserve">Таблица </w:t>
      </w:r>
      <w:r>
        <w:rPr>
          <w:rFonts w:eastAsiaTheme="minorHAnsi"/>
          <w:sz w:val="28"/>
          <w:szCs w:val="28"/>
          <w:lang w:eastAsia="en-US"/>
        </w:rPr>
        <w:t>А.3</w:t>
      </w:r>
      <w:r w:rsidRPr="00951585">
        <w:rPr>
          <w:rFonts w:eastAsiaTheme="minorHAnsi"/>
          <w:sz w:val="28"/>
          <w:szCs w:val="28"/>
          <w:lang w:eastAsia="en-US"/>
        </w:rPr>
        <w:t>-</w:t>
      </w:r>
      <w:r w:rsidRPr="00951585">
        <w:rPr>
          <w:sz w:val="28"/>
          <w:szCs w:val="28"/>
        </w:rPr>
        <w:t xml:space="preserve"> Ключевые модули и базовый функционал единой цифровой платформы</w:t>
      </w:r>
      <w:r w:rsidRPr="00FC5EFF">
        <w:rPr>
          <w:sz w:val="28"/>
          <w:szCs w:val="28"/>
        </w:rPr>
        <w:t xml:space="preserve"> </w:t>
      </w:r>
      <w:r w:rsidRPr="00951585">
        <w:rPr>
          <w:sz w:val="28"/>
          <w:szCs w:val="28"/>
        </w:rPr>
        <w:t>управления инвестиционными проектами [</w:t>
      </w:r>
      <w:r>
        <w:rPr>
          <w:sz w:val="28"/>
          <w:szCs w:val="28"/>
        </w:rPr>
        <w:t>6</w:t>
      </w:r>
      <w:r w:rsidRPr="00951585">
        <w:rPr>
          <w:sz w:val="28"/>
          <w:szCs w:val="28"/>
        </w:rPr>
        <w:t>]</w:t>
      </w:r>
    </w:p>
    <w:tbl>
      <w:tblPr>
        <w:tblStyle w:val="a9"/>
        <w:tblW w:w="0" w:type="auto"/>
        <w:tblInd w:w="-601" w:type="dxa"/>
        <w:tblLook w:val="04A0"/>
      </w:tblPr>
      <w:tblGrid>
        <w:gridCol w:w="1141"/>
        <w:gridCol w:w="3396"/>
        <w:gridCol w:w="5635"/>
      </w:tblGrid>
      <w:tr w:rsidR="005A24BF" w:rsidTr="00704B4A"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Модули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Функционал</w:t>
            </w:r>
          </w:p>
        </w:tc>
      </w:tr>
      <w:tr w:rsidR="005A24BF" w:rsidTr="00704B4A"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Модуль календарного планирования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Единая система управления и контроля сроков реализации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объектов капительного строительства.</w:t>
            </w:r>
          </w:p>
        </w:tc>
      </w:tr>
      <w:tr w:rsidR="005A24BF" w:rsidTr="00704B4A"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Модуль управления инженерными данными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Единый архив инженерной информации, необходимой как 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строительства так и для эксплуатации объекта.</w:t>
            </w:r>
          </w:p>
        </w:tc>
      </w:tr>
      <w:tr w:rsidR="005A24BF" w:rsidTr="00704B4A"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Модуль контроля процессов МТО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Автоматизации и оптимизации процесса заказа и поставки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МТР на объекты проведения работ.</w:t>
            </w:r>
          </w:p>
        </w:tc>
      </w:tr>
      <w:tr w:rsidR="005A24BF" w:rsidTr="00704B4A">
        <w:trPr>
          <w:trHeight w:val="731"/>
        </w:trPr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Единый центр управления проектами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Создание единого информационного центра по</w:t>
            </w:r>
          </w:p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контролю за проведением строительных работ и</w:t>
            </w:r>
          </w:p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работ по бурению.</w:t>
            </w:r>
          </w:p>
        </w:tc>
      </w:tr>
      <w:tr w:rsidR="005A24BF" w:rsidTr="00704B4A">
        <w:trPr>
          <w:trHeight w:val="112"/>
        </w:trPr>
        <w:tc>
          <w:tcPr>
            <w:tcW w:w="1141" w:type="dxa"/>
          </w:tcPr>
          <w:p w:rsidR="005A24BF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96" w:type="dxa"/>
          </w:tcPr>
          <w:p w:rsidR="005A24BF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Модуль НСИ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Единая</w:t>
            </w:r>
            <w:r w:rsidRPr="00467784">
              <w:rPr>
                <w:rFonts w:eastAsiaTheme="minorHAnsi"/>
                <w:sz w:val="24"/>
                <w:szCs w:val="24"/>
                <w:lang w:eastAsia="en-US"/>
              </w:rPr>
              <w:t xml:space="preserve"> система ведения нормативно-справочной</w:t>
            </w:r>
          </w:p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информации для поддержания согласованности в</w:t>
            </w:r>
          </w:p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автоматизируемых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бизнес-процессах.</w:t>
            </w:r>
          </w:p>
        </w:tc>
      </w:tr>
      <w:tr w:rsidR="005A24BF" w:rsidTr="00704B4A">
        <w:trPr>
          <w:trHeight w:val="444"/>
        </w:trPr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Модуль управления процессами бурения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Планирование строительства скважин и дальнейшее</w:t>
            </w:r>
          </w:p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управление процессами по добыче.</w:t>
            </w:r>
          </w:p>
        </w:tc>
      </w:tr>
      <w:tr w:rsidR="005A24BF" w:rsidTr="00704B4A">
        <w:trPr>
          <w:trHeight w:val="175"/>
        </w:trPr>
        <w:tc>
          <w:tcPr>
            <w:tcW w:w="1141" w:type="dxa"/>
          </w:tcPr>
          <w:p w:rsidR="005A24BF" w:rsidRPr="00467784" w:rsidRDefault="005A24BF" w:rsidP="00704B4A">
            <w:pPr>
              <w:ind w:left="-604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96" w:type="dxa"/>
          </w:tcPr>
          <w:p w:rsidR="005A24BF" w:rsidRPr="00467784" w:rsidRDefault="005A24BF" w:rsidP="00704B4A">
            <w:pPr>
              <w:ind w:left="27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Модуль контроля качества строительства</w:t>
            </w:r>
          </w:p>
        </w:tc>
        <w:tc>
          <w:tcPr>
            <w:tcW w:w="5635" w:type="dxa"/>
          </w:tcPr>
          <w:p w:rsidR="005A24BF" w:rsidRPr="00467784" w:rsidRDefault="005A24BF" w:rsidP="00704B4A">
            <w:pPr>
              <w:ind w:left="175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67784">
              <w:rPr>
                <w:rFonts w:eastAsiaTheme="minorHAnsi"/>
                <w:sz w:val="24"/>
                <w:szCs w:val="24"/>
                <w:lang w:eastAsia="en-US"/>
              </w:rPr>
              <w:t>Приложение для внесения объёма выполненных работ и проверки факта их выполнения.</w:t>
            </w:r>
          </w:p>
        </w:tc>
      </w:tr>
    </w:tbl>
    <w:p w:rsidR="00772E5C" w:rsidRDefault="00772E5C" w:rsidP="006F7301"/>
    <w:sectPr w:rsidR="00772E5C" w:rsidSect="00772E5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FF" w:rsidRDefault="00DC4EFF" w:rsidP="00F63293">
      <w:r>
        <w:separator/>
      </w:r>
    </w:p>
  </w:endnote>
  <w:endnote w:type="continuationSeparator" w:id="1">
    <w:p w:rsidR="00DC4EFF" w:rsidRDefault="00DC4EFF" w:rsidP="00F6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FF" w:rsidRDefault="00DC4EFF" w:rsidP="00F63293">
      <w:r>
        <w:separator/>
      </w:r>
    </w:p>
  </w:footnote>
  <w:footnote w:type="continuationSeparator" w:id="1">
    <w:p w:rsidR="00DC4EFF" w:rsidRDefault="00DC4EFF" w:rsidP="00F6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93" w:rsidRPr="00F63293" w:rsidRDefault="00F63293" w:rsidP="00F6329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63293">
      <w:rPr>
        <w:rFonts w:ascii="Times New Roman" w:hAnsi="Times New Roman" w:cs="Times New Roman"/>
        <w:sz w:val="24"/>
        <w:szCs w:val="24"/>
      </w:rPr>
      <w:t>ПРИЛОЖЕНИЕ А</w:t>
    </w:r>
  </w:p>
  <w:p w:rsidR="00F63293" w:rsidRDefault="00F632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0D2"/>
    <w:rsid w:val="003A3DB0"/>
    <w:rsid w:val="005A24BF"/>
    <w:rsid w:val="006C0422"/>
    <w:rsid w:val="006F7301"/>
    <w:rsid w:val="00704B4A"/>
    <w:rsid w:val="00772DA5"/>
    <w:rsid w:val="00772E5C"/>
    <w:rsid w:val="007D27F2"/>
    <w:rsid w:val="00A74D26"/>
    <w:rsid w:val="00B74CB0"/>
    <w:rsid w:val="00C42CA7"/>
    <w:rsid w:val="00D436F4"/>
    <w:rsid w:val="00DC4EFF"/>
    <w:rsid w:val="00ED741A"/>
    <w:rsid w:val="00F55F09"/>
    <w:rsid w:val="00F63293"/>
    <w:rsid w:val="00FB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3293"/>
  </w:style>
  <w:style w:type="paragraph" w:styleId="a5">
    <w:name w:val="footer"/>
    <w:basedOn w:val="a"/>
    <w:link w:val="a6"/>
    <w:uiPriority w:val="99"/>
    <w:semiHidden/>
    <w:unhideWhenUsed/>
    <w:rsid w:val="00F632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63293"/>
  </w:style>
  <w:style w:type="paragraph" w:styleId="a7">
    <w:name w:val="Balloon Text"/>
    <w:basedOn w:val="a"/>
    <w:link w:val="a8"/>
    <w:uiPriority w:val="99"/>
    <w:semiHidden/>
    <w:unhideWhenUsed/>
    <w:rsid w:val="00F632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3293"/>
    <w:rPr>
      <w:rFonts w:ascii="Tahoma" w:hAnsi="Tahoma" w:cs="Tahoma"/>
      <w:sz w:val="16"/>
      <w:szCs w:val="16"/>
    </w:rPr>
  </w:style>
  <w:style w:type="paragraph" w:customStyle="1" w:styleId="-1">
    <w:name w:val="Мой обычный текст - 1"/>
    <w:basedOn w:val="a"/>
    <w:link w:val="-10"/>
    <w:qFormat/>
    <w:rsid w:val="00ED741A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-10">
    <w:name w:val="Мой обычный текст - 1 Знак"/>
    <w:basedOn w:val="a0"/>
    <w:link w:val="-1"/>
    <w:rsid w:val="00ED741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unhideWhenUsed/>
    <w:rsid w:val="00D436F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555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555xls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555xls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555xlsx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555xls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.555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Лист1!$G$14</c:f>
              <c:strCache>
                <c:ptCount val="1"/>
                <c:pt idx="0">
                  <c:v>Среднесписочная численность, тыс. чел.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Лист1!$H$13:$J$13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Лист1!$H$14:$J$14</c:f>
              <c:numCache>
                <c:formatCode>General</c:formatCode>
                <c:ptCount val="3"/>
                <c:pt idx="0">
                  <c:v>473.8</c:v>
                </c:pt>
                <c:pt idx="1">
                  <c:v>477.6</c:v>
                </c:pt>
                <c:pt idx="2">
                  <c:v>479.2</c:v>
                </c:pt>
              </c:numCache>
            </c:numRef>
          </c:val>
        </c:ser>
        <c:dLbls>
          <c:showVal val="1"/>
        </c:dLbls>
        <c:shape val="box"/>
        <c:axId val="212232064"/>
        <c:axId val="240074752"/>
        <c:axId val="0"/>
      </c:bar3DChart>
      <c:catAx>
        <c:axId val="2122320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074752"/>
        <c:crosses val="autoZero"/>
        <c:auto val="1"/>
        <c:lblAlgn val="ctr"/>
        <c:lblOffset val="100"/>
      </c:catAx>
      <c:valAx>
        <c:axId val="2400747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232064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Лист2!$F$11</c:f>
              <c:strCache>
                <c:ptCount val="1"/>
                <c:pt idx="0">
                  <c:v>Капитал, тыс. руб.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strRef>
              <c:f>Лист2!$G$10:$I$10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Лист2!$G$11:$I$11</c:f>
              <c:numCache>
                <c:formatCode>#,##0</c:formatCode>
                <c:ptCount val="3"/>
                <c:pt idx="0">
                  <c:v>15715516759</c:v>
                </c:pt>
                <c:pt idx="1">
                  <c:v>24913179511</c:v>
                </c:pt>
                <c:pt idx="2">
                  <c:v>24033801131</c:v>
                </c:pt>
              </c:numCache>
            </c:numRef>
          </c:val>
        </c:ser>
        <c:dLbls>
          <c:showVal val="1"/>
        </c:dLbls>
        <c:shape val="cylinder"/>
        <c:axId val="182478720"/>
        <c:axId val="182480256"/>
        <c:axId val="0"/>
      </c:bar3DChart>
      <c:catAx>
        <c:axId val="182478720"/>
        <c:scaling>
          <c:orientation val="minMax"/>
        </c:scaling>
        <c:axPos val="b"/>
        <c:tickLblPos val="nextTo"/>
        <c:crossAx val="182480256"/>
        <c:crosses val="autoZero"/>
        <c:auto val="1"/>
        <c:lblAlgn val="ctr"/>
        <c:lblOffset val="100"/>
      </c:catAx>
      <c:valAx>
        <c:axId val="182480256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478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Лист2!$H$44</c:f>
              <c:strCache>
                <c:ptCount val="1"/>
                <c:pt idx="0">
                  <c:v>2022 год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Лист2!$G$45:$G$46</c:f>
              <c:strCache>
                <c:ptCount val="2"/>
                <c:pt idx="0">
                  <c:v>Собственные средства, %</c:v>
                </c:pt>
                <c:pt idx="1">
                  <c:v>Заемные средства, %</c:v>
                </c:pt>
              </c:strCache>
            </c:strRef>
          </c:cat>
          <c:val>
            <c:numRef>
              <c:f>Лист2!$H$45:$H$46</c:f>
              <c:numCache>
                <c:formatCode>General</c:formatCode>
                <c:ptCount val="2"/>
                <c:pt idx="0">
                  <c:v>69.61999999999999</c:v>
                </c:pt>
                <c:pt idx="1">
                  <c:v>30.38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Лист2!$H$141</c:f>
              <c:strCache>
                <c:ptCount val="1"/>
                <c:pt idx="0">
                  <c:v>2022г., %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Лист2!$G$142:$G$148</c:f>
              <c:strCache>
                <c:ptCount val="7"/>
                <c:pt idx="0">
                  <c:v>продажа газа</c:v>
                </c:pt>
                <c:pt idx="1">
                  <c:v>предоставление имущества в аренду</c:v>
                </c:pt>
                <c:pt idx="2">
                  <c:v>продажа продуктов нефтегазопереработки</c:v>
                </c:pt>
                <c:pt idx="3">
                  <c:v>предоставление услуг по организации транспортировки газа</c:v>
                </c:pt>
                <c:pt idx="4">
                  <c:v>продажа газового конденсата</c:v>
                </c:pt>
                <c:pt idx="5">
                  <c:v>продажа нефти</c:v>
                </c:pt>
                <c:pt idx="6">
                  <c:v>продажа других товаров, продукции, работ и услуг</c:v>
                </c:pt>
              </c:strCache>
            </c:strRef>
          </c:cat>
          <c:val>
            <c:numRef>
              <c:f>Лист2!$H$142:$H$148</c:f>
              <c:numCache>
                <c:formatCode>General</c:formatCode>
                <c:ptCount val="7"/>
                <c:pt idx="0">
                  <c:v>73.03</c:v>
                </c:pt>
                <c:pt idx="1">
                  <c:v>14.729999999999999</c:v>
                </c:pt>
                <c:pt idx="2">
                  <c:v>4</c:v>
                </c:pt>
                <c:pt idx="3">
                  <c:v>3.51</c:v>
                </c:pt>
                <c:pt idx="4">
                  <c:v>2.88</c:v>
                </c:pt>
                <c:pt idx="5">
                  <c:v>1.6500000000000001</c:v>
                </c:pt>
                <c:pt idx="6">
                  <c:v>0.2</c:v>
                </c:pt>
              </c:numCache>
            </c:numRef>
          </c:val>
        </c:ser>
        <c:dLbls>
          <c:showVal val="1"/>
        </c:dLbls>
      </c:pie3DChart>
    </c:plotArea>
    <c:legend>
      <c:legendPos val="l"/>
      <c:layout>
        <c:manualLayout>
          <c:xMode val="edge"/>
          <c:yMode val="edge"/>
          <c:x val="1.3084723585214265E-2"/>
          <c:y val="8.5969208117278026E-2"/>
          <c:w val="0.37919425920631361"/>
          <c:h val="0.9019095555128794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Лист2!$G$172</c:f>
              <c:strCache>
                <c:ptCount val="1"/>
                <c:pt idx="0">
                  <c:v>продажа газа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Лист2!$H$172:$J$172</c:f>
              <c:numCache>
                <c:formatCode>#,##0</c:formatCode>
                <c:ptCount val="3"/>
                <c:pt idx="0" formatCode="General">
                  <c:v>2635465416</c:v>
                </c:pt>
                <c:pt idx="1">
                  <c:v>4720244962</c:v>
                </c:pt>
                <c:pt idx="2">
                  <c:v>5826988836</c:v>
                </c:pt>
              </c:numCache>
            </c:numRef>
          </c:val>
        </c:ser>
        <c:ser>
          <c:idx val="1"/>
          <c:order val="1"/>
          <c:tx>
            <c:strRef>
              <c:f>Лист2!$G$173</c:f>
              <c:strCache>
                <c:ptCount val="1"/>
                <c:pt idx="0">
                  <c:v>предоставление имущества в аренду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Лист2!$H$173:$J$173</c:f>
              <c:numCache>
                <c:formatCode>#,##0</c:formatCode>
                <c:ptCount val="3"/>
                <c:pt idx="0" formatCode="General">
                  <c:v>801610263</c:v>
                </c:pt>
                <c:pt idx="1">
                  <c:v>793999761</c:v>
                </c:pt>
                <c:pt idx="2">
                  <c:v>1175632237</c:v>
                </c:pt>
              </c:numCache>
            </c:numRef>
          </c:val>
        </c:ser>
        <c:ser>
          <c:idx val="2"/>
          <c:order val="2"/>
          <c:tx>
            <c:strRef>
              <c:f>Лист2!$G$174</c:f>
              <c:strCache>
                <c:ptCount val="1"/>
                <c:pt idx="0">
                  <c:v>продажа продуктов нефтегазопереработки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Лист2!$H$174:$J$174</c:f>
              <c:numCache>
                <c:formatCode>#,##0</c:formatCode>
                <c:ptCount val="3"/>
                <c:pt idx="0" formatCode="General">
                  <c:v>258923667</c:v>
                </c:pt>
                <c:pt idx="1">
                  <c:v>328779949</c:v>
                </c:pt>
                <c:pt idx="2">
                  <c:v>319915645</c:v>
                </c:pt>
              </c:numCache>
            </c:numRef>
          </c:val>
        </c:ser>
        <c:ser>
          <c:idx val="3"/>
          <c:order val="3"/>
          <c:tx>
            <c:strRef>
              <c:f>Лист2!$G$175</c:f>
              <c:strCache>
                <c:ptCount val="1"/>
                <c:pt idx="0">
                  <c:v>предоставление услуг по организации транспортировки газа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0000"/>
                    <a:satMod val="300000"/>
                  </a:schemeClr>
                </a:gs>
                <a:gs pos="35000">
                  <a:schemeClr val="dk1">
                    <a:tint val="37000"/>
                    <a:satMod val="300000"/>
                  </a:schemeClr>
                </a:gs>
                <a:gs pos="100000">
                  <a:schemeClr val="dk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Лист2!$H$175:$J$175</c:f>
              <c:numCache>
                <c:formatCode>#,##0</c:formatCode>
                <c:ptCount val="3"/>
                <c:pt idx="0" formatCode="General">
                  <c:v>243635662</c:v>
                </c:pt>
                <c:pt idx="1">
                  <c:v>250732540</c:v>
                </c:pt>
                <c:pt idx="2">
                  <c:v>280499045</c:v>
                </c:pt>
              </c:numCache>
            </c:numRef>
          </c:val>
        </c:ser>
        <c:ser>
          <c:idx val="4"/>
          <c:order val="4"/>
          <c:tx>
            <c:strRef>
              <c:f>Лист2!$G$176</c:f>
              <c:strCache>
                <c:ptCount val="1"/>
                <c:pt idx="0">
                  <c:v>продажа газового конденсата</c:v>
                </c:pt>
              </c:strCache>
            </c:strRef>
          </c:tx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Лист2!$H$176:$J$176</c:f>
              <c:numCache>
                <c:formatCode>#,##0</c:formatCode>
                <c:ptCount val="3"/>
                <c:pt idx="0" formatCode="General">
                  <c:v>100927468</c:v>
                </c:pt>
                <c:pt idx="1">
                  <c:v>233317528</c:v>
                </c:pt>
                <c:pt idx="2">
                  <c:v>229832063</c:v>
                </c:pt>
              </c:numCache>
            </c:numRef>
          </c:val>
        </c:ser>
        <c:ser>
          <c:idx val="5"/>
          <c:order val="5"/>
          <c:tx>
            <c:strRef>
              <c:f>Лист2!$G$177</c:f>
              <c:strCache>
                <c:ptCount val="1"/>
                <c:pt idx="0">
                  <c:v>продажа нефти</c:v>
                </c:pt>
              </c:strCache>
            </c:strRef>
          </c:tx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Лист2!$H$177:$J$177</c:f>
              <c:numCache>
                <c:formatCode>#,##0</c:formatCode>
                <c:ptCount val="3"/>
                <c:pt idx="0" formatCode="General">
                  <c:v>16784284</c:v>
                </c:pt>
                <c:pt idx="1">
                  <c:v>47540036</c:v>
                </c:pt>
                <c:pt idx="2">
                  <c:v>131539203</c:v>
                </c:pt>
              </c:numCache>
            </c:numRef>
          </c:val>
        </c:ser>
        <c:ser>
          <c:idx val="6"/>
          <c:order val="6"/>
          <c:tx>
            <c:strRef>
              <c:f>Лист2!$G$178</c:f>
              <c:strCache>
                <c:ptCount val="1"/>
                <c:pt idx="0">
                  <c:v>продажа других товаров, продукции, работ и услуг</c:v>
                </c:pt>
              </c:strCache>
            </c:strRef>
          </c:tx>
          <c:cat>
            <c:strRef>
              <c:f>Лист2!$H$171:$J$171</c:f>
              <c:strCache>
                <c:ptCount val="3"/>
                <c:pt idx="0">
                  <c:v>2020г., т.р.</c:v>
                </c:pt>
                <c:pt idx="1">
                  <c:v>2021г.,т.р</c:v>
                </c:pt>
                <c:pt idx="2">
                  <c:v>2022г.,т.р.</c:v>
                </c:pt>
              </c:strCache>
            </c:strRef>
          </c:cat>
          <c:val>
            <c:numRef>
              <c:f>Лист2!$H$178:$J$178</c:f>
              <c:numCache>
                <c:formatCode>#,##0</c:formatCode>
                <c:ptCount val="3"/>
                <c:pt idx="0" formatCode="General">
                  <c:v>4097358</c:v>
                </c:pt>
                <c:pt idx="1">
                  <c:v>14372391</c:v>
                </c:pt>
                <c:pt idx="2" formatCode="General">
                  <c:v>14619919</c:v>
                </c:pt>
              </c:numCache>
            </c:numRef>
          </c:val>
        </c:ser>
        <c:shape val="box"/>
        <c:axId val="200939008"/>
        <c:axId val="200940544"/>
        <c:axId val="0"/>
      </c:bar3DChart>
      <c:catAx>
        <c:axId val="200939008"/>
        <c:scaling>
          <c:orientation val="minMax"/>
        </c:scaling>
        <c:axPos val="b"/>
        <c:tickLblPos val="nextTo"/>
        <c:crossAx val="200940544"/>
        <c:crosses val="autoZero"/>
        <c:auto val="1"/>
        <c:lblAlgn val="ctr"/>
        <c:lblOffset val="100"/>
      </c:catAx>
      <c:valAx>
        <c:axId val="2009405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0093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Лист2!$G$244</c:f>
              <c:strCache>
                <c:ptCount val="1"/>
                <c:pt idx="0">
                  <c:v>Себестоимость продаж, тыс. руб.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solidFill>
                <a:schemeClr val="lt1"/>
              </a:solidFill>
              <a:ln w="25400" cap="flat" cmpd="sng" algn="ctr">
                <a:solidFill>
                  <a:schemeClr val="accent5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Лист2!$H$243:$J$243</c:f>
              <c:strCache>
                <c:ptCount val="3"/>
                <c:pt idx="0">
                  <c:v>2020г.</c:v>
                </c:pt>
                <c:pt idx="1">
                  <c:v>2021г.</c:v>
                </c:pt>
                <c:pt idx="2">
                  <c:v>2022г.</c:v>
                </c:pt>
              </c:strCache>
            </c:strRef>
          </c:cat>
          <c:val>
            <c:numRef>
              <c:f>Лист2!$H$244:$J$244</c:f>
              <c:numCache>
                <c:formatCode>#,##0</c:formatCode>
                <c:ptCount val="3"/>
                <c:pt idx="0" formatCode="General">
                  <c:v>2488200192</c:v>
                </c:pt>
                <c:pt idx="1">
                  <c:v>2748528303</c:v>
                </c:pt>
                <c:pt idx="2">
                  <c:v>4768761092</c:v>
                </c:pt>
              </c:numCache>
            </c:numRef>
          </c:val>
        </c:ser>
        <c:dLbls>
          <c:showVal val="1"/>
        </c:dLbls>
        <c:shape val="cylinder"/>
        <c:axId val="244200192"/>
        <c:axId val="244257536"/>
        <c:axId val="0"/>
      </c:bar3DChart>
      <c:catAx>
        <c:axId val="2442001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4257536"/>
        <c:crosses val="autoZero"/>
        <c:auto val="1"/>
        <c:lblAlgn val="ctr"/>
        <c:lblOffset val="100"/>
      </c:catAx>
      <c:valAx>
        <c:axId val="244257536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244200192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14</cp:revision>
  <dcterms:created xsi:type="dcterms:W3CDTF">2023-05-26T07:52:00Z</dcterms:created>
  <dcterms:modified xsi:type="dcterms:W3CDTF">2023-05-26T08:42:00Z</dcterms:modified>
</cp:coreProperties>
</file>