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A0" w:rsidRPr="00AD19DE" w:rsidRDefault="006650A0" w:rsidP="002F4D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19D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65463">
        <w:rPr>
          <w:rFonts w:ascii="Times New Roman" w:hAnsi="Times New Roman" w:cs="Times New Roman"/>
          <w:sz w:val="28"/>
          <w:szCs w:val="28"/>
        </w:rPr>
        <w:t>1</w:t>
      </w:r>
      <w:r w:rsidRPr="00AD19DE">
        <w:rPr>
          <w:rFonts w:ascii="Times New Roman" w:hAnsi="Times New Roman" w:cs="Times New Roman"/>
          <w:sz w:val="28"/>
          <w:szCs w:val="28"/>
        </w:rPr>
        <w:t>.2-Цели ПАО «Совкомбанк» в области социальной ответственности</w:t>
      </w:r>
    </w:p>
    <w:tbl>
      <w:tblPr>
        <w:tblStyle w:val="a3"/>
        <w:tblW w:w="0" w:type="auto"/>
        <w:tblLook w:val="04A0"/>
      </w:tblPr>
      <w:tblGrid>
        <w:gridCol w:w="3189"/>
        <w:gridCol w:w="3194"/>
        <w:gridCol w:w="3188"/>
      </w:tblGrid>
      <w:tr w:rsidR="006650A0" w:rsidRPr="002F4D17" w:rsidTr="00F71E5D">
        <w:tc>
          <w:tcPr>
            <w:tcW w:w="3284" w:type="dxa"/>
          </w:tcPr>
          <w:p w:rsidR="006650A0" w:rsidRPr="002F4D17" w:rsidRDefault="006650A0" w:rsidP="002F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Цель, утвержденная</w:t>
            </w:r>
          </w:p>
          <w:p w:rsidR="006650A0" w:rsidRPr="002F4D17" w:rsidRDefault="006650A0" w:rsidP="002F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Банком</w:t>
            </w:r>
          </w:p>
        </w:tc>
        <w:tc>
          <w:tcPr>
            <w:tcW w:w="3285" w:type="dxa"/>
          </w:tcPr>
          <w:p w:rsidR="006650A0" w:rsidRPr="002F4D17" w:rsidRDefault="006650A0" w:rsidP="002F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Описание цели</w:t>
            </w:r>
          </w:p>
        </w:tc>
        <w:tc>
          <w:tcPr>
            <w:tcW w:w="3285" w:type="dxa"/>
          </w:tcPr>
          <w:p w:rsidR="006650A0" w:rsidRPr="002F4D17" w:rsidRDefault="006650A0" w:rsidP="002F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Прогресс</w:t>
            </w:r>
          </w:p>
        </w:tc>
      </w:tr>
      <w:tr w:rsidR="006650A0" w:rsidRPr="002F4D17" w:rsidTr="00F71E5D">
        <w:tc>
          <w:tcPr>
            <w:tcW w:w="3284" w:type="dxa"/>
          </w:tcPr>
          <w:p w:rsidR="006650A0" w:rsidRPr="002F4D17" w:rsidRDefault="006650A0" w:rsidP="002F4D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 w:rsidRPr="002F4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МСП с помощью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кредитных инструментов,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 площадки «РТС-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Тендер», а также национальной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рассрочки «Халва»</w:t>
            </w:r>
          </w:p>
        </w:tc>
        <w:tc>
          <w:tcPr>
            <w:tcW w:w="3285" w:type="dxa"/>
          </w:tcPr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Совкомбанк активно кредитует малый и средний бизнес, в том числе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по льготным программам.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Мы развиваем свои электронные торговые площадки, на которых субъекты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МСП могут заключать сделки на поставку своих товаров и услуг, расширяя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сбыт.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Мы повышаем торговый оборот ретейлеров — партнеров сети «Халва»,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обеспечиваем рост клиентской базы и среднего чека</w:t>
            </w:r>
          </w:p>
        </w:tc>
        <w:tc>
          <w:tcPr>
            <w:tcW w:w="3285" w:type="dxa"/>
          </w:tcPr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Банк — участник госпрограмм льготного кредитования МСП.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В 2021 году Совкомбанк приобрел электронную площадку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для коммерческих закупок и обеспечил МСП доступ к закуп-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кам (государственным и коммерческим). Всего в тендерах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приняло участие 712 тыс. субъектов МСП (на 16% больше,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чем в 2020 году).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По итогам 2021 года М</w:t>
            </w:r>
            <w:r w:rsidR="002F4D17">
              <w:rPr>
                <w:rFonts w:ascii="Times New Roman" w:hAnsi="Times New Roman" w:cs="Times New Roman"/>
                <w:sz w:val="24"/>
                <w:szCs w:val="24"/>
              </w:rPr>
              <w:t>СП составляли почти 70% партнер</w:t>
            </w: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ской сети «Халва». Объем транзакций по нашим картам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составил 363 млрд руб.</w:t>
            </w:r>
          </w:p>
        </w:tc>
      </w:tr>
      <w:tr w:rsidR="006650A0" w:rsidRPr="002F4D17" w:rsidTr="00F71E5D">
        <w:tc>
          <w:tcPr>
            <w:tcW w:w="3284" w:type="dxa"/>
          </w:tcPr>
          <w:p w:rsidR="006650A0" w:rsidRPr="002F4D17" w:rsidRDefault="006650A0" w:rsidP="002F4D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 w:rsidRPr="002F4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индекса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удовлетворенности сотрудников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(eNPS) на уровне не ниже 70</w:t>
            </w:r>
          </w:p>
        </w:tc>
        <w:tc>
          <w:tcPr>
            <w:tcW w:w="3285" w:type="dxa"/>
          </w:tcPr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Мы ценим и стремимся сохранить своих сотрудников, обеспечиваем равные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возможности для карьерного роста и профессионального развития, мотиви-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руем на проявление инициативы и повышение эффективности. Мы уважаем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права человека и создаем инклюзивную среду</w:t>
            </w:r>
          </w:p>
        </w:tc>
        <w:tc>
          <w:tcPr>
            <w:tcW w:w="3285" w:type="dxa"/>
          </w:tcPr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В 2021 году сотрудники высоко оценили удовлетворенность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работой в Совкомбанке, eNPS составил 72</w:t>
            </w:r>
          </w:p>
        </w:tc>
      </w:tr>
      <w:tr w:rsidR="006650A0" w:rsidRPr="002F4D17" w:rsidTr="00F71E5D">
        <w:tc>
          <w:tcPr>
            <w:tcW w:w="3284" w:type="dxa"/>
          </w:tcPr>
          <w:p w:rsidR="006650A0" w:rsidRPr="002F4D17" w:rsidRDefault="006650A0" w:rsidP="002F4D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Pr="002F4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потребительской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осведомленности о финансовых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продуктах на уровне мировых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стандартов</w:t>
            </w:r>
          </w:p>
        </w:tc>
        <w:tc>
          <w:tcPr>
            <w:tcW w:w="3285" w:type="dxa"/>
          </w:tcPr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Банк проводит обучающие онлайн-семинары, дает разъяснения по финансовым темам.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На сайте Банка ведется Совкомблог. В нем публикуются тексты на экономические и финансовые темы, понятные читателям с любым уровнем финансовой грамотности.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также используем свою экспертизу и компетенции для разработки учеб-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ных программ профильных вузов, участвуем в семинарах для студентов.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Мы проводим тесты по финансовой грамотности, за прохождение которых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держателям карт «Халва» начисляются баллы.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Мы постоянно повышаем качество клиентского сервиса и доступность услуг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через цифровые каналы, а также через выдачу карт «Халва»</w:t>
            </w:r>
          </w:p>
        </w:tc>
        <w:tc>
          <w:tcPr>
            <w:tcW w:w="3285" w:type="dxa"/>
          </w:tcPr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2021 году журнал об инвестициях в формате комиксов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Market Power стал доступен в социальных сетях.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В декабре 2021 года Банк присоединился к инициативе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ООН по повышению качества обслуживания клиентов —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лиц. Совкомбанк вместе с группой крупней-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ших иностранных банков — участников UNEP FI в течение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18 месяцев определит целевые показатели, связанные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с отсутствием навязывания финансовых продуктов и добро-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совестным информированием клиентов о предлагаемых</w:t>
            </w:r>
          </w:p>
          <w:p w:rsidR="006650A0" w:rsidRPr="002F4D17" w:rsidRDefault="006650A0" w:rsidP="002F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продуктах</w:t>
            </w:r>
          </w:p>
        </w:tc>
      </w:tr>
    </w:tbl>
    <w:p w:rsidR="006650A0" w:rsidRPr="002F4D17" w:rsidRDefault="006650A0" w:rsidP="002F4D17">
      <w:pPr>
        <w:rPr>
          <w:rFonts w:ascii="Times New Roman" w:hAnsi="Times New Roman" w:cs="Times New Roman"/>
          <w:sz w:val="24"/>
          <w:szCs w:val="24"/>
        </w:rPr>
      </w:pPr>
    </w:p>
    <w:p w:rsidR="007D6F8D" w:rsidRDefault="007D6F8D" w:rsidP="002F4D17">
      <w:pPr>
        <w:rPr>
          <w:rFonts w:ascii="Times New Roman" w:hAnsi="Times New Roman" w:cs="Times New Roman"/>
          <w:sz w:val="24"/>
          <w:szCs w:val="24"/>
        </w:rPr>
      </w:pPr>
    </w:p>
    <w:p w:rsidR="002F4D17" w:rsidRDefault="002F4D17" w:rsidP="002F4D17">
      <w:pPr>
        <w:rPr>
          <w:rFonts w:ascii="Times New Roman" w:hAnsi="Times New Roman" w:cs="Times New Roman"/>
          <w:sz w:val="24"/>
          <w:szCs w:val="24"/>
        </w:rPr>
      </w:pPr>
    </w:p>
    <w:p w:rsidR="002F4D17" w:rsidRDefault="002F4D17" w:rsidP="002F4D17">
      <w:pPr>
        <w:rPr>
          <w:rFonts w:ascii="Times New Roman" w:hAnsi="Times New Roman" w:cs="Times New Roman"/>
          <w:sz w:val="24"/>
          <w:szCs w:val="24"/>
        </w:rPr>
      </w:pPr>
    </w:p>
    <w:p w:rsidR="002F4D17" w:rsidRDefault="002F4D17" w:rsidP="002F4D17">
      <w:pPr>
        <w:rPr>
          <w:rFonts w:ascii="Times New Roman" w:hAnsi="Times New Roman" w:cs="Times New Roman"/>
          <w:sz w:val="24"/>
          <w:szCs w:val="24"/>
        </w:rPr>
      </w:pPr>
    </w:p>
    <w:p w:rsidR="002F4D17" w:rsidRDefault="002F4D17" w:rsidP="002F4D17">
      <w:pPr>
        <w:rPr>
          <w:rFonts w:ascii="Times New Roman" w:hAnsi="Times New Roman" w:cs="Times New Roman"/>
          <w:sz w:val="24"/>
          <w:szCs w:val="24"/>
        </w:rPr>
      </w:pPr>
    </w:p>
    <w:p w:rsidR="002F4D17" w:rsidRDefault="002F4D17" w:rsidP="002F4D17">
      <w:pPr>
        <w:rPr>
          <w:rFonts w:ascii="Times New Roman" w:hAnsi="Times New Roman" w:cs="Times New Roman"/>
          <w:sz w:val="24"/>
          <w:szCs w:val="24"/>
        </w:rPr>
      </w:pPr>
    </w:p>
    <w:p w:rsidR="002F4D17" w:rsidRDefault="002F4D17" w:rsidP="002F4D17">
      <w:pPr>
        <w:rPr>
          <w:rFonts w:ascii="Times New Roman" w:hAnsi="Times New Roman" w:cs="Times New Roman"/>
          <w:sz w:val="24"/>
          <w:szCs w:val="24"/>
        </w:rPr>
      </w:pPr>
    </w:p>
    <w:p w:rsidR="002F4D17" w:rsidRDefault="002F4D17" w:rsidP="002F4D17">
      <w:pPr>
        <w:rPr>
          <w:rFonts w:ascii="Times New Roman" w:hAnsi="Times New Roman" w:cs="Times New Roman"/>
          <w:sz w:val="24"/>
          <w:szCs w:val="24"/>
        </w:rPr>
      </w:pPr>
    </w:p>
    <w:p w:rsidR="002F4D17" w:rsidRDefault="002F4D17" w:rsidP="002F4D17">
      <w:pPr>
        <w:rPr>
          <w:rFonts w:ascii="Times New Roman" w:hAnsi="Times New Roman" w:cs="Times New Roman"/>
          <w:sz w:val="24"/>
          <w:szCs w:val="24"/>
        </w:rPr>
      </w:pPr>
    </w:p>
    <w:p w:rsidR="002F4D17" w:rsidRDefault="002F4D17" w:rsidP="002F4D17">
      <w:pPr>
        <w:rPr>
          <w:rFonts w:ascii="Times New Roman" w:hAnsi="Times New Roman" w:cs="Times New Roman"/>
          <w:sz w:val="24"/>
          <w:szCs w:val="24"/>
        </w:rPr>
      </w:pPr>
    </w:p>
    <w:p w:rsidR="002F4D17" w:rsidRDefault="002F4D17" w:rsidP="002F4D17">
      <w:pPr>
        <w:rPr>
          <w:rFonts w:ascii="Times New Roman" w:hAnsi="Times New Roman" w:cs="Times New Roman"/>
          <w:sz w:val="24"/>
          <w:szCs w:val="24"/>
        </w:rPr>
      </w:pPr>
    </w:p>
    <w:p w:rsidR="002F4D17" w:rsidRDefault="002F4D17" w:rsidP="002F4D17">
      <w:pPr>
        <w:rPr>
          <w:rFonts w:ascii="Times New Roman" w:hAnsi="Times New Roman" w:cs="Times New Roman"/>
          <w:sz w:val="24"/>
          <w:szCs w:val="24"/>
        </w:rPr>
      </w:pPr>
    </w:p>
    <w:p w:rsidR="002F4D17" w:rsidRDefault="002F4D17" w:rsidP="002F4D17">
      <w:pPr>
        <w:rPr>
          <w:rFonts w:ascii="Times New Roman" w:hAnsi="Times New Roman" w:cs="Times New Roman"/>
          <w:sz w:val="24"/>
          <w:szCs w:val="24"/>
        </w:rPr>
      </w:pPr>
    </w:p>
    <w:p w:rsidR="002F4D17" w:rsidRDefault="002F4D17" w:rsidP="002F4D17">
      <w:pPr>
        <w:rPr>
          <w:rFonts w:ascii="Times New Roman" w:hAnsi="Times New Roman" w:cs="Times New Roman"/>
          <w:sz w:val="24"/>
          <w:szCs w:val="24"/>
        </w:rPr>
      </w:pPr>
    </w:p>
    <w:p w:rsidR="002F4D17" w:rsidRDefault="002F4D17" w:rsidP="002F4D17">
      <w:pPr>
        <w:rPr>
          <w:rFonts w:ascii="Times New Roman" w:hAnsi="Times New Roman" w:cs="Times New Roman"/>
          <w:sz w:val="24"/>
          <w:szCs w:val="24"/>
        </w:rPr>
      </w:pPr>
    </w:p>
    <w:p w:rsidR="002F4D17" w:rsidRDefault="002F4D17" w:rsidP="002F4D17">
      <w:pPr>
        <w:rPr>
          <w:rFonts w:ascii="Times New Roman" w:hAnsi="Times New Roman" w:cs="Times New Roman"/>
          <w:sz w:val="24"/>
          <w:szCs w:val="24"/>
        </w:rPr>
      </w:pPr>
    </w:p>
    <w:p w:rsidR="002F4D17" w:rsidRDefault="002F4D17" w:rsidP="002F4D17">
      <w:pPr>
        <w:rPr>
          <w:rFonts w:ascii="Times New Roman" w:hAnsi="Times New Roman" w:cs="Times New Roman"/>
          <w:sz w:val="24"/>
          <w:szCs w:val="24"/>
        </w:rPr>
      </w:pPr>
    </w:p>
    <w:p w:rsidR="002F4D17" w:rsidRPr="002F4D17" w:rsidRDefault="002F4D17" w:rsidP="002F4D17">
      <w:pPr>
        <w:rPr>
          <w:rFonts w:ascii="Times New Roman" w:hAnsi="Times New Roman" w:cs="Times New Roman"/>
          <w:sz w:val="24"/>
          <w:szCs w:val="24"/>
        </w:rPr>
      </w:pPr>
    </w:p>
    <w:p w:rsidR="007D6F8D" w:rsidRPr="002F4D17" w:rsidRDefault="00F65463" w:rsidP="002F4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7D6F8D" w:rsidRPr="002F4D17">
        <w:rPr>
          <w:rFonts w:ascii="Times New Roman" w:hAnsi="Times New Roman" w:cs="Times New Roman"/>
          <w:sz w:val="28"/>
          <w:szCs w:val="28"/>
        </w:rPr>
        <w:t>.3-Цели ПАО «Совкомбанк» в области эффективной системы</w:t>
      </w:r>
    </w:p>
    <w:p w:rsidR="007D6F8D" w:rsidRPr="002F4D17" w:rsidRDefault="007D6F8D" w:rsidP="002F4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D17">
        <w:rPr>
          <w:rFonts w:ascii="Times New Roman" w:hAnsi="Times New Roman" w:cs="Times New Roman"/>
          <w:sz w:val="28"/>
          <w:szCs w:val="28"/>
        </w:rPr>
        <w:t>Корпоративного управления</w:t>
      </w:r>
    </w:p>
    <w:tbl>
      <w:tblPr>
        <w:tblStyle w:val="a3"/>
        <w:tblW w:w="0" w:type="auto"/>
        <w:tblLook w:val="04A0"/>
      </w:tblPr>
      <w:tblGrid>
        <w:gridCol w:w="3184"/>
        <w:gridCol w:w="3189"/>
        <w:gridCol w:w="3198"/>
      </w:tblGrid>
      <w:tr w:rsidR="007D6F8D" w:rsidRPr="002F4D17" w:rsidTr="00F71E5D">
        <w:trPr>
          <w:trHeight w:val="420"/>
        </w:trPr>
        <w:tc>
          <w:tcPr>
            <w:tcW w:w="3284" w:type="dxa"/>
            <w:tcBorders>
              <w:bottom w:val="single" w:sz="4" w:space="0" w:color="auto"/>
            </w:tcBorders>
          </w:tcPr>
          <w:p w:rsidR="007D6F8D" w:rsidRPr="002F4D17" w:rsidRDefault="007D6F8D" w:rsidP="002F4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Цель, утвержденная</w:t>
            </w:r>
          </w:p>
          <w:p w:rsidR="007D6F8D" w:rsidRPr="002F4D17" w:rsidRDefault="007D6F8D" w:rsidP="002F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Банком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7D6F8D" w:rsidRPr="002F4D17" w:rsidRDefault="007D6F8D" w:rsidP="002F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цели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7D6F8D" w:rsidRPr="002F4D17" w:rsidRDefault="007D6F8D" w:rsidP="002F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Прогресс</w:t>
            </w:r>
          </w:p>
        </w:tc>
      </w:tr>
      <w:tr w:rsidR="007D6F8D" w:rsidRPr="002F4D17" w:rsidTr="00F71E5D">
        <w:trPr>
          <w:trHeight w:val="84"/>
        </w:trPr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7D6F8D" w:rsidRPr="002F4D17" w:rsidRDefault="007D6F8D" w:rsidP="00F71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</w:t>
            </w: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</w:p>
          <w:p w:rsidR="007D6F8D" w:rsidRPr="002F4D17" w:rsidRDefault="007D6F8D" w:rsidP="00F71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по управлению рисками с учетом</w:t>
            </w:r>
          </w:p>
          <w:p w:rsidR="007D6F8D" w:rsidRPr="002F4D17" w:rsidRDefault="007D6F8D" w:rsidP="00F71E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ESG-факторов до 2023 года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7D6F8D" w:rsidRPr="002F4D17" w:rsidRDefault="007D6F8D" w:rsidP="00F71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Мы считаем важным учитывать ESG-факторы при управлении рисками,</w:t>
            </w:r>
          </w:p>
          <w:p w:rsidR="007D6F8D" w:rsidRPr="002F4D17" w:rsidRDefault="007D6F8D" w:rsidP="00F71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так как они могут оказывать все более сильное влияние на устойчивость,</w:t>
            </w:r>
          </w:p>
          <w:p w:rsidR="007D6F8D" w:rsidRPr="002F4D17" w:rsidRDefault="007D6F8D" w:rsidP="00F71E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эффективность и доходность кредитных организаций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7D6F8D" w:rsidRPr="002F4D17" w:rsidRDefault="007D6F8D" w:rsidP="00F71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В 2021 году Совкомбанк подготовил первый отчет о клима-</w:t>
            </w:r>
          </w:p>
          <w:p w:rsidR="007D6F8D" w:rsidRPr="002F4D17" w:rsidRDefault="007D6F8D" w:rsidP="00F71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тических рисках в соответствии с рекомендациями TCFD.</w:t>
            </w:r>
          </w:p>
          <w:p w:rsidR="007D6F8D" w:rsidRPr="002F4D17" w:rsidRDefault="007D6F8D" w:rsidP="00F71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По итогам анализа кредитного портфеля мы определили</w:t>
            </w:r>
          </w:p>
          <w:p w:rsidR="007D6F8D" w:rsidRPr="002F4D17" w:rsidRDefault="007D6F8D" w:rsidP="00F71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зоны, требующие пристального наблюдения — корпоратив-</w:t>
            </w:r>
          </w:p>
          <w:p w:rsidR="007D6F8D" w:rsidRPr="002F4D17" w:rsidRDefault="007D6F8D" w:rsidP="00F71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ные кредиты энергоемким отраслям и ипотечные кредиты</w:t>
            </w:r>
          </w:p>
          <w:p w:rsidR="007D6F8D" w:rsidRPr="002F4D17" w:rsidRDefault="007D6F8D" w:rsidP="00F71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из-за физических рисков для недвижимости в случае изме-</w:t>
            </w:r>
          </w:p>
          <w:p w:rsidR="007D6F8D" w:rsidRPr="002F4D17" w:rsidRDefault="007D6F8D" w:rsidP="00F71E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нения климата</w:t>
            </w:r>
          </w:p>
        </w:tc>
      </w:tr>
      <w:tr w:rsidR="007D6F8D" w:rsidRPr="002F4D17" w:rsidTr="00F71E5D">
        <w:trPr>
          <w:trHeight w:val="180"/>
        </w:trPr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7D6F8D" w:rsidRPr="002F4D17" w:rsidRDefault="007D6F8D" w:rsidP="00F71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40% </w:t>
            </w: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женщин в составе</w:t>
            </w:r>
          </w:p>
          <w:p w:rsidR="007D6F8D" w:rsidRPr="002F4D17" w:rsidRDefault="007D6F8D" w:rsidP="00F71E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топ-менеджмента до 2025 года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7D6F8D" w:rsidRPr="002F4D17" w:rsidRDefault="007D6F8D" w:rsidP="00F71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Основная цель Совкомбанка в области инклюзивности и равенства —</w:t>
            </w:r>
          </w:p>
          <w:p w:rsidR="007D6F8D" w:rsidRPr="002F4D17" w:rsidRDefault="007D6F8D" w:rsidP="00F71E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соблюдение гендерного баланса среди руководящего звена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7D6F8D" w:rsidRPr="002F4D17" w:rsidRDefault="007D6F8D" w:rsidP="00F71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В 2021 году доля женщин в топ-менеджменте Совкомбанка</w:t>
            </w:r>
          </w:p>
          <w:p w:rsidR="007D6F8D" w:rsidRPr="002F4D17" w:rsidRDefault="007D6F8D" w:rsidP="00F71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составила 43%, в том числе за счет присоединения сотруд-</w:t>
            </w:r>
          </w:p>
          <w:p w:rsidR="007D6F8D" w:rsidRPr="002F4D17" w:rsidRDefault="007D6F8D" w:rsidP="00F71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ников банка «Восточный» и «Национальной факторинговой</w:t>
            </w:r>
          </w:p>
          <w:p w:rsidR="007D6F8D" w:rsidRPr="002F4D17" w:rsidRDefault="007D6F8D" w:rsidP="00F71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компании» к команде Совкомбанка.</w:t>
            </w:r>
          </w:p>
          <w:p w:rsidR="007D6F8D" w:rsidRPr="002F4D17" w:rsidRDefault="007D6F8D" w:rsidP="00F71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Банк следует разработанной в 2020 году стратегии разнообразия,</w:t>
            </w:r>
          </w:p>
          <w:p w:rsidR="007D6F8D" w:rsidRPr="002F4D17" w:rsidRDefault="007D6F8D" w:rsidP="00F71E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равных возможностей и инклюзивной среды</w:t>
            </w:r>
          </w:p>
        </w:tc>
      </w:tr>
    </w:tbl>
    <w:p w:rsidR="007D6F8D" w:rsidRPr="002F4D17" w:rsidRDefault="007D6F8D" w:rsidP="006650A0">
      <w:pPr>
        <w:rPr>
          <w:rFonts w:ascii="Times New Roman" w:hAnsi="Times New Roman" w:cs="Times New Roman"/>
          <w:sz w:val="24"/>
          <w:szCs w:val="24"/>
        </w:rPr>
      </w:pPr>
    </w:p>
    <w:p w:rsidR="007D6F8D" w:rsidRPr="002F4D17" w:rsidRDefault="007D6F8D" w:rsidP="006650A0">
      <w:pPr>
        <w:rPr>
          <w:rFonts w:ascii="Times New Roman" w:hAnsi="Times New Roman" w:cs="Times New Roman"/>
          <w:sz w:val="24"/>
          <w:szCs w:val="24"/>
        </w:rPr>
      </w:pPr>
    </w:p>
    <w:p w:rsidR="00772E5C" w:rsidRDefault="00772E5C"/>
    <w:sectPr w:rsidR="00772E5C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798" w:rsidRDefault="00E97798" w:rsidP="009D433D">
      <w:pPr>
        <w:spacing w:after="0" w:line="240" w:lineRule="auto"/>
      </w:pPr>
      <w:r>
        <w:separator/>
      </w:r>
    </w:p>
  </w:endnote>
  <w:endnote w:type="continuationSeparator" w:id="1">
    <w:p w:rsidR="00E97798" w:rsidRDefault="00E97798" w:rsidP="009D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798" w:rsidRDefault="00E97798" w:rsidP="009D433D">
      <w:pPr>
        <w:spacing w:after="0" w:line="240" w:lineRule="auto"/>
      </w:pPr>
      <w:r>
        <w:separator/>
      </w:r>
    </w:p>
  </w:footnote>
  <w:footnote w:type="continuationSeparator" w:id="1">
    <w:p w:rsidR="00E97798" w:rsidRDefault="00E97798" w:rsidP="009D4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33D" w:rsidRPr="009D433D" w:rsidRDefault="00F65463" w:rsidP="009D433D">
    <w:pPr>
      <w:pStyle w:val="a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1</w:t>
    </w:r>
  </w:p>
  <w:p w:rsidR="009D433D" w:rsidRDefault="009D43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0A0"/>
    <w:rsid w:val="00005E8B"/>
    <w:rsid w:val="000335E7"/>
    <w:rsid w:val="002F4D17"/>
    <w:rsid w:val="00521215"/>
    <w:rsid w:val="006650A0"/>
    <w:rsid w:val="00735AB4"/>
    <w:rsid w:val="00772E5C"/>
    <w:rsid w:val="007D6F8D"/>
    <w:rsid w:val="00891E97"/>
    <w:rsid w:val="0098100A"/>
    <w:rsid w:val="009D433D"/>
    <w:rsid w:val="00A06E41"/>
    <w:rsid w:val="00E97798"/>
    <w:rsid w:val="00F6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433D"/>
  </w:style>
  <w:style w:type="paragraph" w:styleId="a6">
    <w:name w:val="footer"/>
    <w:basedOn w:val="a"/>
    <w:link w:val="a7"/>
    <w:uiPriority w:val="99"/>
    <w:semiHidden/>
    <w:unhideWhenUsed/>
    <w:rsid w:val="009D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433D"/>
  </w:style>
  <w:style w:type="paragraph" w:styleId="a8">
    <w:name w:val="Balloon Text"/>
    <w:basedOn w:val="a"/>
    <w:link w:val="a9"/>
    <w:uiPriority w:val="99"/>
    <w:semiHidden/>
    <w:unhideWhenUsed/>
    <w:rsid w:val="009D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2023-06-20T17:59:00Z</dcterms:created>
  <dcterms:modified xsi:type="dcterms:W3CDTF">2023-06-20T17:59:00Z</dcterms:modified>
</cp:coreProperties>
</file>