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14" w:rsidRPr="00D61353" w:rsidRDefault="00561E14" w:rsidP="00561E1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.7pt;margin-top:6.4pt;width:471.05pt;height:235.25pt;z-index:251660288">
            <v:textbox>
              <w:txbxContent>
                <w:p w:rsidR="00561E14" w:rsidRDefault="00561E14" w:rsidP="00561E14">
                  <w:r w:rsidRPr="00D6135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30811" cy="2977117"/>
                        <wp:effectExtent l="0" t="0" r="7989" b="0"/>
                        <wp:docPr id="154" name="Рисунок 2" descr="https://33bc2d6b-b31a-4980-b293-154f9f12c0c2.selcdn.net/uploads/media/setka/0001/13/d2eeb1bc093aed6316ac3afca5eefd6e585b3ea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33bc2d6b-b31a-4980-b293-154f9f12c0c2.selcdn.net/uploads/media/setka/0001/13/d2eeb1bc093aed6316ac3afca5eefd6e585b3ea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4355" cy="29789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61E14" w:rsidRPr="00D61353" w:rsidRDefault="00561E14" w:rsidP="00561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14" w:rsidRDefault="00561E14" w:rsidP="00561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14" w:rsidRDefault="00561E14" w:rsidP="00561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14" w:rsidRDefault="00561E14" w:rsidP="00561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14" w:rsidRDefault="00561E14" w:rsidP="00561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14" w:rsidRPr="00D61353" w:rsidRDefault="00561E14" w:rsidP="00561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14" w:rsidRPr="00D61353" w:rsidRDefault="00561E14" w:rsidP="00561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14" w:rsidRPr="00D61353" w:rsidRDefault="00561E14" w:rsidP="00561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14" w:rsidRPr="00D61353" w:rsidRDefault="00561E14" w:rsidP="00561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14" w:rsidRDefault="00561E14" w:rsidP="00561E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Рис.25 Доля России в общем объеме экспорта Сербии в 2020г.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04413C" w:rsidRDefault="0004413C" w:rsidP="00044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.2pt;margin-top:9.1pt;width:478.05pt;height:248.75pt;z-index:251662336">
            <v:textbox>
              <w:txbxContent>
                <w:p w:rsidR="0004413C" w:rsidRDefault="0004413C" w:rsidP="0004413C">
                  <w:r w:rsidRPr="00300DF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79803" cy="3327990"/>
                        <wp:effectExtent l="0" t="0" r="0" b="0"/>
                        <wp:docPr id="155" name="Рисунок 3" descr="https://33bc2d6b-b31a-4980-b293-154f9f12c0c2.selcdn.net/uploads/media/setka/0001/13/3bff953523652ab9e6aed0dd3346edcd88a28f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33bc2d6b-b31a-4980-b293-154f9f12c0c2.selcdn.net/uploads/media/setka/0001/13/3bff953523652ab9e6aed0dd3346edcd88a28f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8830" cy="3327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4413C" w:rsidRDefault="0004413C" w:rsidP="0004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3C" w:rsidRDefault="0004413C" w:rsidP="0004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3C" w:rsidRDefault="0004413C" w:rsidP="0004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3C" w:rsidRDefault="0004413C" w:rsidP="0004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3C" w:rsidRDefault="0004413C" w:rsidP="0004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3C" w:rsidRDefault="0004413C" w:rsidP="0004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3C" w:rsidRDefault="0004413C" w:rsidP="0004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3C" w:rsidRDefault="0004413C" w:rsidP="0004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3C" w:rsidRDefault="0004413C" w:rsidP="0004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3C" w:rsidRDefault="0004413C" w:rsidP="0004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3C" w:rsidRDefault="0004413C" w:rsidP="0004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3C" w:rsidRDefault="0004413C" w:rsidP="0004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3C" w:rsidRDefault="0004413C" w:rsidP="0004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3C" w:rsidRDefault="0004413C" w:rsidP="0004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3C" w:rsidRDefault="0004413C" w:rsidP="0004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3C" w:rsidRDefault="0004413C" w:rsidP="000441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26</w:t>
      </w:r>
      <w:r w:rsidRPr="00632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России в общем объеме импорта Сербии в 2020г.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144F3E" w:rsidRDefault="00144F3E" w:rsidP="000441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F3E" w:rsidRDefault="00144F3E" w:rsidP="000441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0EA" w:rsidRDefault="008B20EA" w:rsidP="00144F3E">
      <w:pPr>
        <w:spacing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20EA" w:rsidRDefault="008B20EA" w:rsidP="00144F3E">
      <w:pPr>
        <w:spacing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4F3E" w:rsidRDefault="00144F3E" w:rsidP="00144F3E">
      <w:pPr>
        <w:spacing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Таблица 4</w:t>
      </w:r>
    </w:p>
    <w:p w:rsidR="00144F3E" w:rsidRDefault="00144F3E" w:rsidP="00144F3E">
      <w:pPr>
        <w:spacing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Участники факторингового рынка в сегменте МСП</w:t>
      </w:r>
      <w:r>
        <w:rPr>
          <w:rStyle w:val="a5"/>
          <w:rFonts w:ascii="Times New Roman" w:hAnsi="Times New Roman" w:cs="Times New Roman"/>
          <w:noProof/>
          <w:sz w:val="28"/>
          <w:szCs w:val="28"/>
          <w:lang w:eastAsia="ru-RU"/>
        </w:rPr>
        <w:footnoteReference w:id="4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2020г.</w:t>
      </w:r>
    </w:p>
    <w:tbl>
      <w:tblPr>
        <w:tblStyle w:val="a8"/>
        <w:tblW w:w="0" w:type="auto"/>
        <w:tblLook w:val="04A0"/>
      </w:tblPr>
      <w:tblGrid>
        <w:gridCol w:w="3224"/>
        <w:gridCol w:w="3375"/>
        <w:gridCol w:w="2972"/>
      </w:tblGrid>
      <w:tr w:rsidR="00144F3E" w:rsidTr="001D3CD0"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Фактор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Активные клиенты- МСП, ед.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Доля сделок с  МСП,%</w:t>
            </w:r>
          </w:p>
        </w:tc>
      </w:tr>
      <w:tr w:rsidR="00144F3E" w:rsidTr="001D3CD0"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Группа ПСБ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1167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95</w:t>
            </w:r>
          </w:p>
        </w:tc>
      </w:tr>
      <w:tr w:rsidR="00144F3E" w:rsidTr="001D3CD0"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СберФакторинг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854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68</w:t>
            </w:r>
          </w:p>
        </w:tc>
      </w:tr>
      <w:tr w:rsidR="00144F3E" w:rsidTr="001D3CD0"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Факторинг ПЛЮС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757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92</w:t>
            </w:r>
          </w:p>
        </w:tc>
      </w:tr>
      <w:tr w:rsidR="00144F3E" w:rsidTr="001D3CD0"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Металлинвестбанк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647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88</w:t>
            </w:r>
          </w:p>
        </w:tc>
      </w:tr>
      <w:tr w:rsidR="00144F3E" w:rsidTr="001D3CD0"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НФК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623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70</w:t>
            </w:r>
          </w:p>
        </w:tc>
      </w:tr>
      <w:tr w:rsidR="00144F3E" w:rsidTr="001D3CD0"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Открытие факторинг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606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74</w:t>
            </w:r>
          </w:p>
        </w:tc>
      </w:tr>
      <w:tr w:rsidR="00144F3E" w:rsidTr="001D3CD0">
        <w:trPr>
          <w:trHeight w:val="368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Альфа-Банк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375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62</w:t>
            </w:r>
          </w:p>
        </w:tc>
      </w:tr>
      <w:tr w:rsidR="00144F3E" w:rsidTr="001D3CD0">
        <w:trPr>
          <w:trHeight w:val="117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РТС-Капитал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156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54</w:t>
            </w:r>
          </w:p>
        </w:tc>
      </w:tr>
      <w:tr w:rsidR="00144F3E" w:rsidTr="001D3CD0">
        <w:trPr>
          <w:trHeight w:val="188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РФК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154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99</w:t>
            </w:r>
          </w:p>
        </w:tc>
      </w:tr>
      <w:tr w:rsidR="00144F3E" w:rsidTr="001D3CD0">
        <w:trPr>
          <w:trHeight w:val="155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ФГ ПРАЙМ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135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78</w:t>
            </w:r>
          </w:p>
        </w:tc>
      </w:tr>
      <w:tr w:rsidR="00144F3E" w:rsidTr="001D3CD0">
        <w:trPr>
          <w:trHeight w:val="155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ФК "Санкт-Петербург"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128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80</w:t>
            </w:r>
          </w:p>
        </w:tc>
      </w:tr>
      <w:tr w:rsidR="00144F3E" w:rsidTr="001D3CD0">
        <w:trPr>
          <w:trHeight w:val="172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ГПБ-факторинг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84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41</w:t>
            </w:r>
          </w:p>
        </w:tc>
      </w:tr>
      <w:tr w:rsidR="00144F3E" w:rsidTr="001D3CD0">
        <w:trPr>
          <w:trHeight w:val="188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МКБ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56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50</w:t>
            </w:r>
          </w:p>
        </w:tc>
      </w:tr>
      <w:tr w:rsidR="00144F3E" w:rsidTr="001D3CD0">
        <w:trPr>
          <w:trHeight w:val="138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Global Factoring Network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52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90</w:t>
            </w:r>
          </w:p>
        </w:tc>
      </w:tr>
      <w:tr w:rsidR="00144F3E" w:rsidTr="001D3CD0">
        <w:trPr>
          <w:trHeight w:val="209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СДМ-Банк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51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98</w:t>
            </w:r>
          </w:p>
        </w:tc>
      </w:tr>
      <w:tr w:rsidR="00144F3E" w:rsidTr="001D3CD0">
        <w:trPr>
          <w:trHeight w:val="225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Кубань Кредит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27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90</w:t>
            </w:r>
          </w:p>
        </w:tc>
      </w:tr>
      <w:tr w:rsidR="00144F3E" w:rsidTr="001D3CD0">
        <w:trPr>
          <w:trHeight w:val="138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ТКБ Банк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23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92</w:t>
            </w:r>
          </w:p>
        </w:tc>
      </w:tr>
      <w:tr w:rsidR="00144F3E" w:rsidTr="001D3CD0">
        <w:trPr>
          <w:trHeight w:val="279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Кредит Европа Банк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21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72</w:t>
            </w:r>
          </w:p>
        </w:tc>
      </w:tr>
      <w:tr w:rsidR="00144F3E" w:rsidTr="001D3CD0">
        <w:trPr>
          <w:trHeight w:val="184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ФКРС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11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85</w:t>
            </w:r>
          </w:p>
        </w:tc>
      </w:tr>
      <w:tr w:rsidR="00144F3E" w:rsidTr="001D3CD0">
        <w:trPr>
          <w:trHeight w:val="268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РСХБ Факторинг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21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45</w:t>
            </w:r>
          </w:p>
        </w:tc>
      </w:tr>
      <w:tr w:rsidR="00144F3E" w:rsidTr="001D3CD0">
        <w:trPr>
          <w:trHeight w:val="267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Абсолют Факторинг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18</w:t>
            </w:r>
          </w:p>
        </w:tc>
      </w:tr>
      <w:tr w:rsidR="00144F3E" w:rsidTr="001D3CD0">
        <w:trPr>
          <w:trHeight w:val="150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B1689">
              <w:rPr>
                <w:rFonts w:ascii="Times New Roman" w:hAnsi="Times New Roman" w:cs="Times New Roman"/>
                <w:noProof/>
                <w:lang w:eastAsia="ru-RU"/>
              </w:rPr>
              <w:t>ПФК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53</w:t>
            </w:r>
          </w:p>
        </w:tc>
      </w:tr>
      <w:tr w:rsidR="00144F3E" w:rsidTr="001D3CD0">
        <w:trPr>
          <w:trHeight w:val="109"/>
        </w:trPr>
        <w:tc>
          <w:tcPr>
            <w:tcW w:w="3282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40FAA">
              <w:rPr>
                <w:rFonts w:ascii="Times New Roman" w:hAnsi="Times New Roman" w:cs="Times New Roman"/>
                <w:noProof/>
                <w:lang w:eastAsia="ru-RU"/>
              </w:rPr>
              <w:t>Датабанк</w:t>
            </w:r>
          </w:p>
        </w:tc>
        <w:tc>
          <w:tcPr>
            <w:tcW w:w="3489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3077" w:type="dxa"/>
          </w:tcPr>
          <w:p w:rsidR="00144F3E" w:rsidRPr="00A40FAA" w:rsidRDefault="00144F3E" w:rsidP="001D3CD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63</w:t>
            </w:r>
          </w:p>
        </w:tc>
      </w:tr>
    </w:tbl>
    <w:p w:rsidR="00144F3E" w:rsidRDefault="00144F3E" w:rsidP="000441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F3E" w:rsidRDefault="00144F3E" w:rsidP="000441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A8" w:rsidRDefault="00884EA8" w:rsidP="000441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A8" w:rsidRDefault="00884EA8" w:rsidP="000441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A8" w:rsidRDefault="00884EA8" w:rsidP="000441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A8" w:rsidRDefault="00884EA8" w:rsidP="000441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A8" w:rsidRDefault="00884EA8" w:rsidP="000441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A8" w:rsidRDefault="00884EA8" w:rsidP="000441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A8" w:rsidRDefault="00884EA8" w:rsidP="000441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A8" w:rsidRDefault="00884EA8" w:rsidP="000441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A8" w:rsidRDefault="00884EA8" w:rsidP="000441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A8" w:rsidRPr="008D1A99" w:rsidRDefault="00884EA8" w:rsidP="00884EA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8" style="position:absolute;left:0;text-align:left;margin-left:5.35pt;margin-top:2.7pt;width:476.4pt;height:339.6pt;z-index:251664384">
            <v:textbox>
              <w:txbxContent>
                <w:p w:rsidR="00884EA8" w:rsidRDefault="00884EA8" w:rsidP="00884EA8">
                  <w:r w:rsidRPr="008D1A9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61863" cy="4146698"/>
                        <wp:effectExtent l="19050" t="0" r="24587" b="6202"/>
                        <wp:docPr id="170" name="Диаграмма 2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84EA8" w:rsidRPr="00EF24AC" w:rsidRDefault="00884EA8" w:rsidP="00884EA8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EA8" w:rsidRDefault="00884EA8" w:rsidP="00884EA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84EA8" w:rsidRDefault="00884EA8" w:rsidP="00884EA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84EA8" w:rsidRDefault="00884EA8" w:rsidP="00884EA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84EA8" w:rsidRDefault="00884EA8" w:rsidP="00884EA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84EA8" w:rsidRDefault="00884EA8" w:rsidP="00884EA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84EA8" w:rsidRDefault="00884EA8" w:rsidP="00884EA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84EA8" w:rsidRDefault="00884EA8" w:rsidP="00884EA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84EA8" w:rsidRDefault="00884EA8" w:rsidP="00884EA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84EA8" w:rsidRDefault="00884EA8" w:rsidP="00884EA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84EA8" w:rsidRDefault="00884EA8" w:rsidP="00884EA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84EA8" w:rsidRDefault="00884EA8" w:rsidP="00884E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EA8" w:rsidRPr="008D1A99" w:rsidRDefault="00884EA8" w:rsidP="00884E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1A99">
        <w:rPr>
          <w:rFonts w:ascii="Times New Roman" w:hAnsi="Times New Roman" w:cs="Times New Roman"/>
          <w:sz w:val="28"/>
          <w:szCs w:val="28"/>
          <w:lang w:eastAsia="ru-RU"/>
        </w:rPr>
        <w:t>Рис.33 Причины выхода из бизнеса в России в 2019-2020гг.</w:t>
      </w:r>
      <w:r w:rsidRPr="008D1A99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:rsidR="00353AC8" w:rsidRDefault="00353AC8"/>
    <w:sectPr w:rsidR="00353AC8" w:rsidSect="00353AC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41" w:rsidRDefault="00424241" w:rsidP="00561E14">
      <w:r>
        <w:separator/>
      </w:r>
    </w:p>
  </w:endnote>
  <w:endnote w:type="continuationSeparator" w:id="1">
    <w:p w:rsidR="00424241" w:rsidRDefault="00424241" w:rsidP="0056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41" w:rsidRDefault="00424241" w:rsidP="00561E14">
      <w:r>
        <w:separator/>
      </w:r>
    </w:p>
  </w:footnote>
  <w:footnote w:type="continuationSeparator" w:id="1">
    <w:p w:rsidR="00424241" w:rsidRDefault="00424241" w:rsidP="00561E14">
      <w:r>
        <w:continuationSeparator/>
      </w:r>
    </w:p>
  </w:footnote>
  <w:footnote w:id="2">
    <w:p w:rsidR="00561E14" w:rsidRDefault="00561E14" w:rsidP="008B20EA">
      <w:pPr>
        <w:outlineLvl w:val="0"/>
      </w:pPr>
      <w:r>
        <w:rPr>
          <w:rStyle w:val="a5"/>
        </w:rPr>
        <w:footnoteRef/>
      </w:r>
      <w:r>
        <w:t xml:space="preserve"> </w:t>
      </w:r>
      <w:r w:rsidRPr="00BB018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Бошкович В.Носки и фрукты: как международный факторинг помогает торговле России и Сербии.-https://sber.pro/publication/noski-i-frukty-kak-mezhdunarodnyi-faktoring-pomogaet-torgovle-rossii-i-serbii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-по состоянию на 27мая 2021г.</w:t>
      </w:r>
    </w:p>
  </w:footnote>
  <w:footnote w:id="3">
    <w:p w:rsidR="0004413C" w:rsidRPr="008B20EA" w:rsidRDefault="0004413C" w:rsidP="0004413C">
      <w:pPr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8B20EA">
        <w:rPr>
          <w:rStyle w:val="a5"/>
          <w:rFonts w:ascii="Times New Roman" w:hAnsi="Times New Roman" w:cs="Times New Roman"/>
        </w:rPr>
        <w:footnoteRef/>
      </w:r>
      <w:r w:rsidRPr="008B20EA">
        <w:rPr>
          <w:rFonts w:ascii="Times New Roman" w:hAnsi="Times New Roman" w:cs="Times New Roman"/>
        </w:rPr>
        <w:t xml:space="preserve"> </w:t>
      </w:r>
      <w:r w:rsidR="008B20EA" w:rsidRPr="008B20EA">
        <w:rPr>
          <w:rFonts w:ascii="Times New Roman" w:hAnsi="Times New Roman" w:cs="Times New Roman"/>
        </w:rPr>
        <w:t>Там же</w:t>
      </w:r>
      <w:r w:rsidRPr="008B20EA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.</w:t>
      </w:r>
    </w:p>
    <w:p w:rsidR="0004413C" w:rsidRDefault="0004413C" w:rsidP="0004413C">
      <w:pPr>
        <w:pStyle w:val="a3"/>
      </w:pPr>
    </w:p>
  </w:footnote>
  <w:footnote w:id="4">
    <w:p w:rsidR="00144F3E" w:rsidRPr="00F51FA2" w:rsidRDefault="00144F3E" w:rsidP="00144F3E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F51FA2">
        <w:rPr>
          <w:rFonts w:ascii="Times New Roman" w:hAnsi="Times New Roman" w:cs="Times New Roman"/>
        </w:rPr>
        <w:t>Вернов В. Трансформация дебиторской  задолженности в ликвидный актив.  Понятие, виды  и функции  факторинга.   Ассоциаци</w:t>
      </w:r>
      <w:r>
        <w:rPr>
          <w:rFonts w:ascii="Times New Roman" w:hAnsi="Times New Roman" w:cs="Times New Roman"/>
        </w:rPr>
        <w:t>я</w:t>
      </w:r>
      <w:r w:rsidRPr="00F51FA2">
        <w:rPr>
          <w:rFonts w:ascii="Times New Roman" w:hAnsi="Times New Roman" w:cs="Times New Roman"/>
        </w:rPr>
        <w:t xml:space="preserve">  факторинговых компаний России (АФК)-</w:t>
      </w:r>
      <w:r w:rsidRPr="00F51FA2">
        <w:rPr>
          <w:rFonts w:ascii="Times New Roman" w:hAnsi="Times New Roman" w:cs="Times New Roman"/>
          <w:kern w:val="36"/>
          <w:lang w:eastAsia="ru-RU"/>
        </w:rPr>
        <w:t xml:space="preserve"> https://</w:t>
      </w:r>
      <w:r w:rsidRPr="00F51FA2">
        <w:rPr>
          <w:rFonts w:ascii="Times New Roman" w:hAnsi="Times New Roman" w:cs="Times New Roman"/>
        </w:rPr>
        <w:t xml:space="preserve"> factoringplus.ru</w:t>
      </w:r>
    </w:p>
    <w:p w:rsidR="00144F3E" w:rsidRDefault="00144F3E" w:rsidP="00144F3E">
      <w:pPr>
        <w:pStyle w:val="a3"/>
      </w:pPr>
    </w:p>
  </w:footnote>
  <w:footnote w:id="5">
    <w:p w:rsidR="00884EA8" w:rsidRPr="00FA0F2B" w:rsidRDefault="00884EA8" w:rsidP="00884EA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FA0F2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Верховская О.Р. Богатырева К.А. Дорохина М.В. Ласковая А.К. Шмелева Э.В. Национальный отчет.Глобальный мониторинг предпринимательства. Россия. 2020/2021- www.gsom.spbu.ru</w:t>
      </w:r>
    </w:p>
    <w:p w:rsidR="00884EA8" w:rsidRDefault="00884EA8" w:rsidP="00884EA8">
      <w:pPr>
        <w:pStyle w:val="a3"/>
      </w:pPr>
    </w:p>
    <w:p w:rsidR="00884EA8" w:rsidRDefault="00884EA8" w:rsidP="00884EA8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EA" w:rsidRPr="008B20EA" w:rsidRDefault="008B20EA" w:rsidP="008B20EA">
    <w:pPr>
      <w:pStyle w:val="a9"/>
      <w:jc w:val="right"/>
      <w:rPr>
        <w:rFonts w:ascii="Times New Roman" w:hAnsi="Times New Roman" w:cs="Times New Roman"/>
      </w:rPr>
    </w:pPr>
    <w:r w:rsidRPr="008B20EA">
      <w:rPr>
        <w:rFonts w:ascii="Times New Roman" w:hAnsi="Times New Roman" w:cs="Times New Roman"/>
      </w:rPr>
      <w:t>ПРИЛОЖЕНИЕ 4</w:t>
    </w:r>
  </w:p>
  <w:p w:rsidR="008B20EA" w:rsidRDefault="008B20E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E14"/>
    <w:rsid w:val="0004413C"/>
    <w:rsid w:val="00144F3E"/>
    <w:rsid w:val="00353AC8"/>
    <w:rsid w:val="00424241"/>
    <w:rsid w:val="00561E14"/>
    <w:rsid w:val="00884EA8"/>
    <w:rsid w:val="008B20EA"/>
    <w:rsid w:val="00C54568"/>
    <w:rsid w:val="00D5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1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1E1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1E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61E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61E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E1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144F3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B20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20EA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B20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20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6;&#1083;&#1100;&#1075;&#1072;\Desktop\&#1050;&#1085;&#1080;&#1075;&#1072;1555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Лист3!$G$607</c:f>
              <c:strCache>
                <c:ptCount val="1"/>
                <c:pt idx="0">
                  <c:v>Нерентабельность бизнеса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Лист3!$H$606:$I$606</c:f>
              <c:strCache>
                <c:ptCount val="2"/>
                <c:pt idx="0">
                  <c:v>2019г,%</c:v>
                </c:pt>
                <c:pt idx="1">
                  <c:v>2020г.,%</c:v>
                </c:pt>
              </c:strCache>
            </c:strRef>
          </c:cat>
          <c:val>
            <c:numRef>
              <c:f>Лист3!$H$607:$I$607</c:f>
              <c:numCache>
                <c:formatCode>General</c:formatCode>
                <c:ptCount val="2"/>
                <c:pt idx="0">
                  <c:v>34.700000000000003</c:v>
                </c:pt>
                <c:pt idx="1">
                  <c:v>25.9</c:v>
                </c:pt>
              </c:numCache>
            </c:numRef>
          </c:val>
        </c:ser>
        <c:ser>
          <c:idx val="1"/>
          <c:order val="1"/>
          <c:tx>
            <c:strRef>
              <c:f>Лист3!$G$608</c:f>
              <c:strCache>
                <c:ptCount val="1"/>
                <c:pt idx="0">
                  <c:v>Доступ к финансированию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Лист3!$H$606:$I$606</c:f>
              <c:strCache>
                <c:ptCount val="2"/>
                <c:pt idx="0">
                  <c:v>2019г,%</c:v>
                </c:pt>
                <c:pt idx="1">
                  <c:v>2020г.,%</c:v>
                </c:pt>
              </c:strCache>
            </c:strRef>
          </c:cat>
          <c:val>
            <c:numRef>
              <c:f>Лист3!$H$608:$I$608</c:f>
              <c:numCache>
                <c:formatCode>General</c:formatCode>
                <c:ptCount val="2"/>
                <c:pt idx="0">
                  <c:v>6.1</c:v>
                </c:pt>
                <c:pt idx="1">
                  <c:v>6.2</c:v>
                </c:pt>
              </c:numCache>
            </c:numRef>
          </c:val>
        </c:ser>
        <c:ser>
          <c:idx val="2"/>
          <c:order val="2"/>
          <c:tx>
            <c:strRef>
              <c:f>Лист3!$G$609</c:f>
              <c:strCache>
                <c:ptCount val="1"/>
                <c:pt idx="0">
                  <c:v>Продажа бизнеса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Лист3!$H$606:$I$606</c:f>
              <c:strCache>
                <c:ptCount val="2"/>
                <c:pt idx="0">
                  <c:v>2019г,%</c:v>
                </c:pt>
                <c:pt idx="1">
                  <c:v>2020г.,%</c:v>
                </c:pt>
              </c:strCache>
            </c:strRef>
          </c:cat>
          <c:val>
            <c:numRef>
              <c:f>Лист3!$H$609:$I$609</c:f>
              <c:numCache>
                <c:formatCode>General</c:formatCode>
                <c:ptCount val="2"/>
                <c:pt idx="0">
                  <c:v>7.1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Лист3!$G$610</c:f>
              <c:strCache>
                <c:ptCount val="1"/>
                <c:pt idx="0">
                  <c:v>Возможность другого трудоустройства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Лист3!$H$606:$I$606</c:f>
              <c:strCache>
                <c:ptCount val="2"/>
                <c:pt idx="0">
                  <c:v>2019г,%</c:v>
                </c:pt>
                <c:pt idx="1">
                  <c:v>2020г.,%</c:v>
                </c:pt>
              </c:strCache>
            </c:strRef>
          </c:cat>
          <c:val>
            <c:numRef>
              <c:f>Лист3!$H$610:$I$610</c:f>
              <c:numCache>
                <c:formatCode>General</c:formatCode>
                <c:ptCount val="2"/>
                <c:pt idx="0">
                  <c:v>13.3</c:v>
                </c:pt>
                <c:pt idx="1">
                  <c:v>5.0999999999999996</c:v>
                </c:pt>
              </c:numCache>
            </c:numRef>
          </c:val>
        </c:ser>
        <c:ser>
          <c:idx val="4"/>
          <c:order val="4"/>
          <c:tx>
            <c:strRef>
              <c:f>Лист3!$G$611</c:f>
              <c:strCache>
                <c:ptCount val="1"/>
                <c:pt idx="0">
                  <c:v>Планируемый выход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Лист3!$H$606:$I$606</c:f>
              <c:strCache>
                <c:ptCount val="2"/>
                <c:pt idx="0">
                  <c:v>2019г,%</c:v>
                </c:pt>
                <c:pt idx="1">
                  <c:v>2020г.,%</c:v>
                </c:pt>
              </c:strCache>
            </c:strRef>
          </c:cat>
          <c:val>
            <c:numRef>
              <c:f>Лист3!$H$611:$I$611</c:f>
              <c:numCache>
                <c:formatCode>General</c:formatCode>
                <c:ptCount val="2"/>
                <c:pt idx="0">
                  <c:v>6.6</c:v>
                </c:pt>
                <c:pt idx="1">
                  <c:v>3.3</c:v>
                </c:pt>
              </c:numCache>
            </c:numRef>
          </c:val>
        </c:ser>
        <c:ser>
          <c:idx val="5"/>
          <c:order val="5"/>
          <c:tx>
            <c:strRef>
              <c:f>Лист3!$G$612</c:f>
              <c:strCache>
                <c:ptCount val="1"/>
                <c:pt idx="0">
                  <c:v>Выход на пенсию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Лист3!$H$606:$I$606</c:f>
              <c:strCache>
                <c:ptCount val="2"/>
                <c:pt idx="0">
                  <c:v>2019г,%</c:v>
                </c:pt>
                <c:pt idx="1">
                  <c:v>2020г.,%</c:v>
                </c:pt>
              </c:strCache>
            </c:strRef>
          </c:cat>
          <c:val>
            <c:numRef>
              <c:f>Лист3!$H$612:$I$612</c:f>
              <c:numCache>
                <c:formatCode>General</c:formatCode>
                <c:ptCount val="2"/>
                <c:pt idx="0">
                  <c:v>5.5</c:v>
                </c:pt>
                <c:pt idx="1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Лист3!$G$613</c:f>
              <c:strCache>
                <c:ptCount val="1"/>
                <c:pt idx="0">
                  <c:v>Личные причины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Лист3!$H$606:$I$606</c:f>
              <c:strCache>
                <c:ptCount val="2"/>
                <c:pt idx="0">
                  <c:v>2019г,%</c:v>
                </c:pt>
                <c:pt idx="1">
                  <c:v>2020г.,%</c:v>
                </c:pt>
              </c:strCache>
            </c:strRef>
          </c:cat>
          <c:val>
            <c:numRef>
              <c:f>Лист3!$H$613:$I$613</c:f>
              <c:numCache>
                <c:formatCode>General</c:formatCode>
                <c:ptCount val="2"/>
                <c:pt idx="0">
                  <c:v>18.399999999999999</c:v>
                </c:pt>
                <c:pt idx="1">
                  <c:v>5.5</c:v>
                </c:pt>
              </c:numCache>
            </c:numRef>
          </c:val>
        </c:ser>
        <c:ser>
          <c:idx val="7"/>
          <c:order val="7"/>
          <c:tx>
            <c:strRef>
              <c:f>Лист3!$G$614</c:f>
              <c:strCache>
                <c:ptCount val="1"/>
                <c:pt idx="0">
                  <c:v>Случайность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Лист3!$H$606:$I$606</c:f>
              <c:strCache>
                <c:ptCount val="2"/>
                <c:pt idx="0">
                  <c:v>2019г,%</c:v>
                </c:pt>
                <c:pt idx="1">
                  <c:v>2020г.,%</c:v>
                </c:pt>
              </c:strCache>
            </c:strRef>
          </c:cat>
          <c:val>
            <c:numRef>
              <c:f>Лист3!$H$614:$I$614</c:f>
              <c:numCache>
                <c:formatCode>General</c:formatCode>
                <c:ptCount val="2"/>
                <c:pt idx="0">
                  <c:v>8.4</c:v>
                </c:pt>
                <c:pt idx="1">
                  <c:v>5.2</c:v>
                </c:pt>
              </c:numCache>
            </c:numRef>
          </c:val>
        </c:ser>
        <c:ser>
          <c:idx val="8"/>
          <c:order val="8"/>
          <c:tx>
            <c:strRef>
              <c:f>Лист3!$G$615</c:f>
              <c:strCache>
                <c:ptCount val="1"/>
                <c:pt idx="0">
                  <c:v>Государственная политика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Лист3!$H$606:$I$606</c:f>
              <c:strCache>
                <c:ptCount val="2"/>
                <c:pt idx="0">
                  <c:v>2019г,%</c:v>
                </c:pt>
                <c:pt idx="1">
                  <c:v>2020г.,%</c:v>
                </c:pt>
              </c:strCache>
            </c:strRef>
          </c:cat>
          <c:val>
            <c:numRef>
              <c:f>Лист3!$H$615:$I$615</c:f>
              <c:numCache>
                <c:formatCode>General</c:formatCode>
                <c:ptCount val="2"/>
                <c:pt idx="0">
                  <c:v>11.4</c:v>
                </c:pt>
                <c:pt idx="1">
                  <c:v>8.4</c:v>
                </c:pt>
              </c:numCache>
            </c:numRef>
          </c:val>
        </c:ser>
        <c:ser>
          <c:idx val="9"/>
          <c:order val="9"/>
          <c:tx>
            <c:strRef>
              <c:f>Лист3!$G$616</c:f>
              <c:strCache>
                <c:ptCount val="1"/>
                <c:pt idx="0">
                  <c:v>Пандемия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Лист3!$H$606:$I$606</c:f>
              <c:strCache>
                <c:ptCount val="2"/>
                <c:pt idx="0">
                  <c:v>2019г,%</c:v>
                </c:pt>
                <c:pt idx="1">
                  <c:v>2020г.,%</c:v>
                </c:pt>
              </c:strCache>
            </c:strRef>
          </c:cat>
          <c:val>
            <c:numRef>
              <c:f>Лист3!$H$616:$I$616</c:f>
              <c:numCache>
                <c:formatCode>General</c:formatCode>
                <c:ptCount val="2"/>
                <c:pt idx="0">
                  <c:v>0</c:v>
                </c:pt>
                <c:pt idx="1">
                  <c:v>28.9</c:v>
                </c:pt>
              </c:numCache>
            </c:numRef>
          </c:val>
        </c:ser>
        <c:dLbls>
          <c:showVal val="1"/>
        </c:dLbls>
        <c:shape val="box"/>
        <c:axId val="158812032"/>
        <c:axId val="158826496"/>
        <c:axId val="0"/>
      </c:bar3DChart>
      <c:catAx>
        <c:axId val="15881203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826496"/>
        <c:crosses val="autoZero"/>
        <c:auto val="1"/>
        <c:lblAlgn val="ctr"/>
        <c:lblOffset val="100"/>
      </c:catAx>
      <c:valAx>
        <c:axId val="158826496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81203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2022-10-28T09:02:00Z</dcterms:created>
  <dcterms:modified xsi:type="dcterms:W3CDTF">2022-10-28T09:30:00Z</dcterms:modified>
</cp:coreProperties>
</file>