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Default Extension="ttf" ContentType="application/x-font-ttf"/>
  <Default Extension="otf" ContentType="application/x-font-ttf"/>
  <Default Extension="eot" ContentType="application/x-font-tt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700"/>
        <w:gridCol w:w="20"/>
        <w:gridCol w:w="1980"/>
        <w:gridCol w:w="1000"/>
        <w:gridCol w:w="1200"/>
        <w:gridCol w:w="3500"/>
        <w:gridCol w:w="1000"/>
        <w:gridCol w:w="1500"/>
        <w:gridCol w:w="300"/>
        <w:gridCol w:w="700"/>
      </w:tblGrid>
      <w:tr>
        <w:trPr>
          <w:trHeight w:hRule="exact" w:val="80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organization"/>
              <w:ind w:left="200" w:right="20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Государственного информационного ресурса бухгалтерской (финансовой) отчетности (Ресурса БФО)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organization"/>
              <w:ind/>
              <w:jc w:val="center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Дата формирования информации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09.09.2024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Номер выгрузки информации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№ 0710099_5902202276_2023_000_20240909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Настоящая выгрузка содержит информацию о юридическом лице: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Полное наименование юридического лица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АКЦИОНЕРНОЕ ОБЩЕСТВО "ЭР-ТЕЛЕКОМ ХОЛДИНГ"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organization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organization"/>
              <w:ind w:left="200" w:right="20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включенная в Государственный информационный ресурс бухгалтерской (финансовой) отчетности по состоянию на 09.09.2024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organization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ИНН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5902202276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КПП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590501001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Код по ОКПО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93969892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Форма собственности (по ОКФС)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Организационно-правовая форма (по ОКОПФ)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12267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Вид экономической деятельности по ОКВЭД 2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61.10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Местонахождение (адрес)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614066, Пермский край, г Пермь, ш Космонавтов, 111и, 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Единица измерения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  <w:u w:val="single"/>
              </w:rPr>
              <w:t xml:space="preserve">Тыс. руб.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Бухгалтерская отчетность подлежит обязательному аудиту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Да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аудиторской организации/ФИО индивидуального аудитора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АО "Технологии Доверия - Аудит"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ИНН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7705051102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ОГРН/ОГРНИП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organization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1027700148431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6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5902202276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1 из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09.09.2024 09:14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700"/>
        <w:gridCol w:w="100"/>
        <w:gridCol w:w="1300"/>
        <w:gridCol w:w="600"/>
        <w:gridCol w:w="1000"/>
        <w:gridCol w:w="1800"/>
        <w:gridCol w:w="900"/>
        <w:gridCol w:w="400"/>
        <w:gridCol w:w="1400"/>
        <w:gridCol w:w="200"/>
        <w:gridCol w:w="100"/>
        <w:gridCol w:w="900"/>
        <w:gridCol w:w="600"/>
        <w:gridCol w:w="100"/>
        <w:gridCol w:w="800"/>
        <w:gridCol w:w="300"/>
        <w:gridCol w:w="600"/>
        <w:gridCol w:w="100"/>
      </w:tblGrid>
      <w:tr>
        <w:trPr>
          <w:trHeight w:hRule="exact" w:val="80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ИНН   5902202276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Форма по КНД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balance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0710099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КПП   590501001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Форма по ОКУД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balance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Bold_without_table_balance"/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Бухгалтерский баланс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without_table_balance"/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На 31 декабря 2023 г.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Пояснения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1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20" w:right="2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2023 г.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2022 г.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2021 г.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Актив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I. Внеоборотные активы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4.1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Нематериальные активы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1110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10 066 419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8 915 299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4 439 962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Результаты исследований и разработок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1120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388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2 653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3 936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Нематериальные поисковые активы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1130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Материальные поисковые активы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1140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4.2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Основные средства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1150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41 648 705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39 424 070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39 901 702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4.3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права пользования активами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3 471 949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3 957 717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4 945 169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абонентское оборудование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165 647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259 332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незавершенное строительство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5 731 315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2 518 402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4 091 002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здания, машины, оборудование и другие основны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32 279 794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32 688 619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30 865 531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Доходные вложения в материальные ценности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1160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539 535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4.4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Финансовые вложения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1170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70 101 183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41 549 938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31 989 147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предоставленные долгосрочные займы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25 317 813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19 555 758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13 841 793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инвестиции в дочерние общества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44 783 370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21 994 180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18 147 354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4.5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Отложенные налоговые активы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1180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2 258 732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2 243 767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1 486 176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4.6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Прочие внеоборотные активы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1190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19 452 523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20 118 199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19 771 222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расходы будущих периодов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253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397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507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деловая репутация присоединенных обществ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19 055 282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19 058 365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18 974 844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авансы по приобретению доли в уставном капита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3 156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681 533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7 003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авансы, выданные поставщикам внеоборотных акт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393 832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377 904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788 868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Итого по разделу I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1100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143 527 950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112 253 926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98 131 680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5902202276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2 из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09.09.2024 09:14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700"/>
        <w:gridCol w:w="1400"/>
        <w:gridCol w:w="600"/>
        <w:gridCol w:w="1000"/>
        <w:gridCol w:w="1800"/>
        <w:gridCol w:w="900"/>
        <w:gridCol w:w="1800"/>
        <w:gridCol w:w="200"/>
        <w:gridCol w:w="1000"/>
        <w:gridCol w:w="600"/>
        <w:gridCol w:w="900"/>
        <w:gridCol w:w="300"/>
        <w:gridCol w:w="600"/>
        <w:gridCol w:w="100"/>
      </w:tblGrid>
      <w:tr>
        <w:trPr>
          <w:trHeight w:hRule="exact" w:val="80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Пояснения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1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20" w:right="2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2023 г.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2022 г.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2021 г.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II. Оборотные активы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4.7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Запасы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1210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4 144 463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3 777 228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3 617 169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товары на складе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19 381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61 741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1 668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материалы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4 125 082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3 715 487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3 615 501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Налог на добавленную стоимость по приобретенным ценностям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1220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45 751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123 328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989 847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Дебиторская задолженность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1230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15 351 415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11 518 638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8 897 198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4.9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расчеты по причитающимся дивидендам и другим доходам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20 100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624 473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4.9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авансы выданные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802 535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794 673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1 036 752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4.10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прочая дебиторская задолженность (платежи по которой ожидаются более чем через 12 месяцев после отчетной даты)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5 596 944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2 937 126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1 027 910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4.9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прочая дебиторская задолженность (платежи по которой ожидаются в течение 12 месяцев после отчетной даты)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2 209 505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1 156 126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1 394 033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4.8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дебиторская задолженность покупателей и заказчиков (платежи по которой ожидаются в течение 12 месяцев после отчетной даты)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5 561 154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4 991 233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4 768 372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3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4.8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дебиторская задолженность покупателей и заказчиков (платежи по которой ожидаются более чем через 12 месяцев после отчетной даты)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1 161 177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1 015 007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670 131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4.4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Финансовые вложения (за исключением денежных эквивалентов)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1240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2 662 814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2 546 253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1 116 600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4.11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Денежные средства и денежные эквиваленты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1250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2 950 652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1 480 650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6 679 670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4.12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Прочие оборотные активы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1260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722 025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468 187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375 872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Итого по разделу II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1200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25 877 120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19 914 284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21 676 356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БАЛАНС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1600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169 405 070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132 168 210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119 808 036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5902202276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3 из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09.09.2024 09:14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700"/>
        <w:gridCol w:w="1400"/>
        <w:gridCol w:w="600"/>
        <w:gridCol w:w="1000"/>
        <w:gridCol w:w="1800"/>
        <w:gridCol w:w="900"/>
        <w:gridCol w:w="1800"/>
        <w:gridCol w:w="200"/>
        <w:gridCol w:w="1000"/>
        <w:gridCol w:w="600"/>
        <w:gridCol w:w="900"/>
        <w:gridCol w:w="300"/>
        <w:gridCol w:w="600"/>
        <w:gridCol w:w="100"/>
      </w:tblGrid>
      <w:tr>
        <w:trPr>
          <w:trHeight w:hRule="exact" w:val="80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Пояснения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1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20" w:right="2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2023 г.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2022 г.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2021 г.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Пассив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III. Капитал и резервы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4.13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Уставный капитал (складочный капитал, уставный фонд, вклады товарищей)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1310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949 410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949 410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949 410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Собственные акции, выкупленные у акционеров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1320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2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(-)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Переоценка внеоборотных активов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1340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Добавочный капитал (без переоценки)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1350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Резервный капитал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1360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47 471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47 471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47 471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Нераспределенная прибыль (непокрытый убыток)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1370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9 882 028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7 856 512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6 695 110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Итого по разделу III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1300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10 878 909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8 853 393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7 691 991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IV. Долгосрочные обязательства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4.14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Заемные средства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1410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114 356 219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82 071 443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74 460 000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займы, подлежащие погашению более чем через 12 месяцев после отчетной даты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27 075 078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16 137 000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22 000 000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кредиты, подлежащие погашению более чем через 12 месяцев после отчетной даты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87 281 141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65 934 443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52 460 000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4.15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Отложенные налоговые обязательства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1420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4 737 872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4 524 957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4 089 749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Оценочные обязательства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1430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Прочие обязательства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1450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5 063 126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3 780 674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3 484 957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расчеты с поставщиками и подрядчиками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2 582 283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1 476 978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расчеты с поставщиками по приобретению доли в уставном капитале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19 896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461 336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588 598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долгосрочные обязательства по аренде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2 460 947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1 842 360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2 896 359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Итого по разделу IV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1400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124 157 217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90 377 074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82 034 706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5902202276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4 из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09.09.2024 09:14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700"/>
        <w:gridCol w:w="20"/>
        <w:gridCol w:w="1380"/>
        <w:gridCol w:w="600"/>
        <w:gridCol w:w="1000"/>
        <w:gridCol w:w="1000"/>
        <w:gridCol w:w="800"/>
        <w:gridCol w:w="900"/>
        <w:gridCol w:w="1800"/>
        <w:gridCol w:w="200"/>
        <w:gridCol w:w="1000"/>
        <w:gridCol w:w="600"/>
        <w:gridCol w:w="900"/>
        <w:gridCol w:w="300"/>
        <w:gridCol w:w="600"/>
        <w:gridCol w:w="100"/>
      </w:tblGrid>
      <w:tr>
        <w:trPr>
          <w:trHeight w:hRule="exact" w:val="80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Пояснения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1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20" w:right="2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2023 г.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2022 г.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 31 декабря 2021 г.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balance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V. Краткосрочные обязательства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4.14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Заемные средства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1510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18 310 782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17 072 062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16 622 904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проценты по кредитам и займам со сроком выплаты менее 12 месяцев после отчетной даты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842 801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433 312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519 304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займы, подлежащие погашению в течение 12 месяцев после отчетной даты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16 467 981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15 638 750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7 563 600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кредиты, подлежащие погашению в течение 12 месяцев после отчетной даты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1 000 000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1 000 000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8 540 000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Кредиторская задолженность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1520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14 992 741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14 942 356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12 255 504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расчеты по приобретению доли в уставном капитале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438 741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118 880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177 508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краткосрочные обязательства по аренде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1 213 239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2 285 071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2 271 272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авансы полученные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1 781 989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1 476 499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1 230 323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4.17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прочие кредиторы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174 044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150 388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179 560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4.16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задолженность по налогам и сборам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1 211 256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1 103 799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681 623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4.16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задолженность перед государственными внебюджетными фондами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1 161 165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1 975 441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205 697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задолженность перед персоналом организации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405 682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409 567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592 255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расчеты с поставщиками и подрядчиками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20" w:right="20"/>
              <w:jc w:val="center"/>
              <w:spacing w:lineRule="auto" w:line="240" w:after="0" w:before="20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8 606 625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7 422 711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_detail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6 917 266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Доходы будущих периодов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1530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2 464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196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164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  <w:r>
              <w:rPr>
                <w:rFonts w:ascii="Times New Roman" w:hAnsi="Times New Roman" w:eastAsia="Times New Roman" w:cs="Times New Roman"/>
              </w:rPr>
              <w:t xml:space="preserve">4.18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Оценочные обязательства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1540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1 062 543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922 883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1 201 993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Прочие обязательства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1550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414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246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774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Итого по разделу V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1500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34 368 944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32 937 743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30 081 339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left"/>
              <w:spacing w:lineRule="auto" w:line="240" w:after="0" w:before="4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balance"/>
              <w:ind w:left="60" w:right="60"/>
              <w:jc w:val="left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БАЛАНС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20" w:right="2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1700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169 405 070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132 168 210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balance"/>
              <w:ind w:left="60" w:right="60"/>
              <w:jc w:val="center"/>
              <w:spacing w:lineRule="auto" w:line="240" w:after="0" w:before="20"/>
            </w:pPr>
            <w:r>
              <w:rPr>
                <w:rFonts w:ascii="Times New Roman" w:hAnsi="Times New Roman" w:eastAsia="Times New Roman" w:cs="Times New Roman"/>
              </w:rPr>
              <w:t xml:space="preserve">119 808 036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shd w:val="clear" w:color="auto" w:fill="FFFFFF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40"/>
        </w:trPr>
        <w:tc>
          <w:tcPr>
     </w:tcPr>
          <w:p>
            <w:pPr>
              <w:pStyle w:val="EMPTY_CELL_STYLE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without_table_balance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Примечания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</w:rPr>
              <w:t xml:space="preserve"> Указывается номер соответствующего пояснения.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</w:rPr>
              <w:t xml:space="preserve"> Здесь и в других формах отчетов вычитаемый или отрицательный показатель показывается в круглых скобках.</w:t>
              <w:br/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5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5902202276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5 из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09.09.2024 09:14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700"/>
        <w:gridCol w:w="100"/>
        <w:gridCol w:w="1500"/>
        <w:gridCol w:w="400"/>
        <w:gridCol w:w="1000"/>
        <w:gridCol w:w="2600"/>
        <w:gridCol w:w="500"/>
        <w:gridCol w:w="500"/>
        <w:gridCol w:w="1100"/>
        <w:gridCol w:w="100"/>
        <w:gridCol w:w="740"/>
        <w:gridCol w:w="160"/>
        <w:gridCol w:w="700"/>
        <w:gridCol w:w="800"/>
        <w:gridCol w:w="300"/>
        <w:gridCol w:w="600"/>
        <w:gridCol w:w="100"/>
      </w:tblGrid>
      <w:tr>
        <w:trPr>
          <w:trHeight w:hRule="exact" w:val="80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fin_res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ИНН   5902202276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fin_res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Форма по КНД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fin_res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0710099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without_table_fin_res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КПП   590501001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fin_res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Форма по ОКУД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Bold_without_table_fin_res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0710002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>
            <w:pPr>
              <w:pStyle w:val="Bold_without_table_fin_res"/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Отчет о финансовых результатах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without_table_fin_res"/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За 2023 г.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Пояснения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3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 2023 г.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 2022 г.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5.1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Выручка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4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2110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51 865 473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46 033 948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5.2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Себестоимость продаж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2120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(28 369 082)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(29 284 548)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Валовая прибыль (убыток)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2100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23 496 391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16 749 400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5.2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Коммерческие расходы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2210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(5 815 605)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(5 629 000)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5.2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Управленческие расходы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2220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(5 865 650)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(5 067 926)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Прибыль (убыток) от продаж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2200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11 815 136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6 052 474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Доходы от участия в других организациях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2310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3 882 112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3 936 340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5.3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Проценты к получению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2320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3 805 286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2 317 006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5.3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Проценты к уплате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2330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(14 056 808)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(11 029 849)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5.3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Прочие доходы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2340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791 347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1 261 560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5.3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Прочие расходы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2350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(1 676 465)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(1 696 091)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резерв по сомнительным долгам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(454 795)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(399 391)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Прибыль (убыток) до налогообложения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2300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4 560 608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841 440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5.4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Налог на прибыль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5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2410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(420 207)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319 403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 т.ч.:</w:t>
              <w:br/>
              <w:t xml:space="preserve">текущий налог на прибыль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2411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(65 257)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(0)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отложенный налог на прибыль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6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2412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(354 950)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319 403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Прочее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2460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385 115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559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пени (штрафы) и иные аналогичные платежи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(3)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корректировка налога на прибыль прошлых лет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228 114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корректировка отложенных налоговых активов прошлых лет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157 001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detail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562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Чистая прибыль (убыток)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2400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4 525 516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1 161 402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6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Результат от переоценки внеоборотных активов, не включаемый в чистую прибыль (убыток) периода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2510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7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5902202276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6 из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09.09.2024 09:14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700"/>
        <w:gridCol w:w="1600"/>
        <w:gridCol w:w="400"/>
        <w:gridCol w:w="1000"/>
        <w:gridCol w:w="1000"/>
        <w:gridCol w:w="1600"/>
        <w:gridCol w:w="1000"/>
        <w:gridCol w:w="1100"/>
        <w:gridCol w:w="840"/>
        <w:gridCol w:w="160"/>
        <w:gridCol w:w="1500"/>
        <w:gridCol w:w="300"/>
        <w:gridCol w:w="600"/>
        <w:gridCol w:w="2400"/>
      </w:tblGrid>
      <w:tr>
        <w:trPr>
          <w:trHeight w:hRule="exact" w:val="80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Пояснения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3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 2023 г.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 2022 г.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Результат от прочих операций, не включаемый в чистую прибыль (убыток) периода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2520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Налог на прибыль от операций, результат которых не включается в чистую прибыль (убыток) периода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5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2530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Совокупный финансовый результат периода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7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2500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4 525 516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1 161 402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СПРАВОЧНО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5.5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Базовая прибыль (убыток) на акцию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2900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143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37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Разводненная прибыль (убыток) на акцию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2910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360"/>
        </w:trPr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without_table_fin_res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Примечания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</w:rPr>
              <w:t xml:space="preserve"> Указывается номер соответствующего пояснения.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</w:rPr>
              <w:t xml:space="preserve"> Выручка отражается за минусом налога на добавленную стоимость, акцизов.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Отражается расход (доход) по налогу на прибыль.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</w:rPr>
              <w:t xml:space="preserve"> Отражается суммарная величина изменений отложенных налоговых активов и отложенных налоговых обязательств за отчетный период.</w:t>
              <w:br/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</w:rPr>
              <w:t xml:space="preserve"> Совокупный финансовый результат периода определяется как сумма строк "Чистая прибыль (убыток)", "Результат от переоценки внеоборотных активов, не включаемый в чистую прибыль (убыток) периода" и "Результат от прочих операций, не включаемый в чистую прибыль (убыток) периода", "Налог на прибыль от операций, результат которых не включается в чистую прибыль (убыток) периода".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Bold_without_table_fin_res_add"/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24"/>
              </w:rPr>
              <w:t xml:space="preserve">Дополнительные строки отчета о финансовых результатах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without_table_fin_res_add"/>
              <w:ind/>
              <w:jc w:val="left"/>
            </w:pPr>
            <w:r>
              <w:rPr>
                <w:rFonts w:ascii="Times New Roman" w:hAnsi="Times New Roman" w:eastAsia="Times New Roman" w:cs="Times New Roman"/>
                <w:i w:val="true"/>
              </w:rPr>
              <w:t xml:space="preserve">Лист представляется за отчетный период 2023 года при принятии организацией</w:t>
              <w:br/>
              <w:t xml:space="preserve">решения о неприменении изменений, предусмотренных пунктом 2 приказа Минфина от</w:t>
              <w:br/>
              <w:t xml:space="preserve">19.04.2019 г. №61н "О внесении изменений в приказ Министерства финансов Российской</w:t>
              <w:br/>
              <w:t xml:space="preserve">Федерации от 02.07.2010 г. № 66н "О формах бухгалтерской отчетности организаций",</w:t>
              <w:br/>
              <w:t xml:space="preserve">до указанного в данном пункте срока"</w:t>
            </w: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_add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Пояснения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_add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Наименование показателя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_add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Код строки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_add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 2023 г.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_add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За 2022 г.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_add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1</w:t>
            </w:r>
          </w:p>
        </w:tc>
        <w:tc>
          <w:tcPr>
            <w:gridSpan w:val="4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_add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2</w:t>
            </w:r>
          </w:p>
        </w:tc>
        <w:tc>
          <w:tcPr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_add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3</w:t>
            </w:r>
          </w:p>
        </w:tc>
        <w:tc>
          <w:tcPr>
            <w:gridSpan w:val="2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_add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4</w:t>
            </w:r>
          </w:p>
        </w:tc>
        <w:tc>
          <w:tcPr>
            <w:gridSpan w:val="3"/>
            <w:shd w:val="clear" w:color="auto" w:fill="FFFFFF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Italic_table_fin_res_add"/>
              <w:ind w:left="60" w:right="6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5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Текущий налог на прибыль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8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2410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в т.ч. постоянные налоговые обязательства (активы)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2421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Изменение отложенных налоговых обязательств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2430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left"/>
              <w:spacing w:lineRule="auto" w:line="240" w:after="0" w:before="60"/>
            </w:pPr>
          </w:p>
        </w:tc>
        <w:tc>
          <w:tcPr>
            <w:gridSpan w:val="4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left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Изменение отложенных налоговых активов</w:t>
            </w:r>
          </w:p>
        </w:tc>
        <w:tc>
          <w:tcPr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2450</w:t>
            </w:r>
          </w:p>
        </w:tc>
        <w:tc>
          <w:tcPr>
            <w:gridSpan w:val="2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       <w:gridSpan w:val="3"/>
            <w:tcBorders>
              <w:top w:val="dotted" w:sz="1" w:space="0" w:color="000000"/>
              <w:left w:val="dotted" w:sz="1" w:space="0" w:color="000000"/>
              <w:bottom w:val="dotted" w:sz="1" w:space="0" w:color="000000"/>
              <w:right w:val="dotted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Standart_table_fin_res_add"/>
              <w:ind w:left="60" w:right="60"/>
              <w:jc w:val="center"/>
              <w:spacing w:lineRule="auto" w:line="240" w:after="0" w:before="60"/>
            </w:pPr>
            <w:r>
              <w:rPr>
                <w:rFonts w:ascii="Times New Roman" w:hAnsi="Times New Roman" w:eastAsia="Times New Roman" w:cs="Times New Roman"/>
              </w:rPr>
              <w:t xml:space="preserve">-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shd w:val="clear" w:color="auto" w:fill="FFFFFF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40"/>
        </w:trPr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without_table_fin_res_add"/>
              <w:ind/>
              <w:jc w:val="left"/>
            </w:pPr>
            <w:r>
              <w:rPr>
                <w:rFonts w:ascii="Times New Roman" w:hAnsi="Times New Roman" w:eastAsia="Times New Roman" w:cs="Times New Roman"/>
                <w:vertAlign w:val="superscript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</w:rPr>
              <w:t xml:space="preserve"> Значения показателя заполняются по коду строки 2411 отчета о финансовых результатах.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Информация из ресурса БФО</w:t>
            </w: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ИНН   5902202276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right"/>
            </w:pPr>
            <w:r>
              <w:rPr>
                <w:rFonts w:ascii="Times New Roman" w:hAnsi="Times New Roman" w:eastAsia="Times New Roman" w:cs="Times New Roman"/>
              </w:rPr>
              <w:t xml:space="preserve">Страница 7 из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 7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page_footer"/>
              <w:ind/>
              <w:jc w:val="left"/>
            </w:pPr>
            <w:r>
              <w:rPr>
                <w:rFonts w:ascii="Times New Roman" w:hAnsi="Times New Roman" w:eastAsia="Times New Roman" w:cs="Times New Roman"/>
              </w:rPr>
              <w:t xml:space="preserve">09.09.2024 09:14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0" w:right="0" w:bottom="0" w:left="0" w:header="0" w:footer="0" w:gutter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</w:fonts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page_footer">
    <w:name w:val="page_footer"/>
    <w:qFormat/>
    <w:pPr>
      <w:ind/>
    </w:pPr>
    <w:rPr>
      <w:rFonts w:ascii="Times New Roman" w:hAnsi="Times New Roman" w:eastAsia="Times New Roman" w:cs="Times New Roman"/>
      <w:color w:val="808080"/>
      <w:sz w:val="20"/>
    </w:rPr>
  </w:style>
  <w:style w:type="paragraph" w:styleId="Standart_table_organization">
    <w:name w:val="Standart_table_organization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Italic_table_organization">
    <w:name w:val="Italic_table_organization"/>
    <w:qFormat/>
    <w:pPr>
      <w:ind/>
    </w:pPr>
    <w:rPr>
      <w:rFonts w:ascii="Times New Roman" w:hAnsi="Times New Roman" w:eastAsia="Times New Roman" w:cs="Times New Roman"/>
      <w:color w:val="000000"/>
      <w:sz w:val="24"/>
      <w:i w:val="true"/>
    </w:rPr>
  </w:style>
  <w:style w:type="paragraph" w:styleId="Standart_table_balance">
    <w:name w:val="Standart_table_balance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Italic_table_balance">
    <w:name w:val="Italic_table_balance"/>
    <w:qFormat/>
    <w:pPr>
      <w:ind/>
    </w:pPr>
    <w:rPr>
      <w:rFonts w:ascii="Times New Roman" w:hAnsi="Times New Roman" w:eastAsia="Times New Roman" w:cs="Times New Roman"/>
      <w:color w:val="000000"/>
      <w:sz w:val="24"/>
      <w:i w:val="true"/>
    </w:rPr>
  </w:style>
  <w:style w:type="paragraph" w:styleId="without_table_balance">
    <w:name w:val="without_table_balance"/>
    <w:qFormat/>
    <w:pPr>
      <w:ind/>
    </w:pPr>
    <w:rPr>
      <w:rFonts w:ascii="Times New Roman" w:hAnsi="Times New Roman" w:eastAsia="Times New Roman" w:cs="Times New Roman"/>
      <w:color w:val="000000"/>
      <w:sz w:val="20"/>
    </w:rPr>
  </w:style>
  <w:style w:type="paragraph" w:styleId="Bold_table_balance">
    <w:name w:val="Bold_table_balance"/>
    <w:qFormat/>
    <w:pPr>
      <w:ind/>
    </w:pPr>
    <w:rPr>
      <w:rFonts w:ascii="Times New Roman" w:hAnsi="Times New Roman" w:eastAsia="Times New Roman" w:cs="Times New Roman"/>
      <w:color w:val="000000"/>
      <w:sz w:val="24"/>
      <w:b w:val="true"/>
    </w:rPr>
  </w:style>
  <w:style w:type="paragraph" w:styleId="Bold_without_table_balance">
    <w:name w:val="Bold_without_table_balance"/>
    <w:qFormat/>
    <w:pPr>
      <w:ind/>
    </w:pPr>
    <w:rPr>
      <w:rFonts w:ascii="Times New Roman" w:hAnsi="Times New Roman" w:eastAsia="Times New Roman" w:cs="Times New Roman"/>
      <w:color w:val="000000"/>
      <w:sz w:val="20"/>
      <w:b w:val="true"/>
    </w:rPr>
  </w:style>
  <w:style w:type="paragraph" w:styleId="signature_balance">
    <w:name w:val="signature_balance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Standart_table_balance_detail">
    <w:name w:val="Standart_table_balance_detail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Standart_table_fin_res">
    <w:name w:val="Standart_table_fin_res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Italic_table_fin_res">
    <w:name w:val="Italic_table_fin_res"/>
    <w:qFormat/>
    <w:pPr>
      <w:ind/>
    </w:pPr>
    <w:rPr>
      <w:rFonts w:ascii="Times New Roman" w:hAnsi="Times New Roman" w:eastAsia="Times New Roman" w:cs="Times New Roman"/>
      <w:color w:val="000000"/>
      <w:sz w:val="24"/>
      <w:i w:val="true"/>
    </w:rPr>
  </w:style>
  <w:style w:type="paragraph" w:styleId="without_table_fin_res">
    <w:name w:val="without_table_fin_res"/>
    <w:qFormat/>
    <w:pPr>
      <w:ind/>
    </w:pPr>
    <w:rPr>
      <w:rFonts w:ascii="Times New Roman" w:hAnsi="Times New Roman" w:eastAsia="Times New Roman" w:cs="Times New Roman"/>
      <w:color w:val="000000"/>
      <w:sz w:val="20"/>
    </w:rPr>
  </w:style>
  <w:style w:type="paragraph" w:styleId="Bold_table_fin_res">
    <w:name w:val="Bold_table_fin_res"/>
    <w:qFormat/>
    <w:pPr>
      <w:ind/>
    </w:pPr>
    <w:rPr>
      <w:rFonts w:ascii="Times New Roman" w:hAnsi="Times New Roman" w:eastAsia="Times New Roman" w:cs="Times New Roman"/>
      <w:color w:val="000000"/>
      <w:sz w:val="24"/>
      <w:b w:val="true"/>
    </w:rPr>
  </w:style>
  <w:style w:type="paragraph" w:styleId="Bold_without_table_fin_res">
    <w:name w:val="Bold_without_table_fin_res"/>
    <w:qFormat/>
    <w:pPr>
      <w:ind/>
    </w:pPr>
    <w:rPr>
      <w:rFonts w:ascii="Times New Roman" w:hAnsi="Times New Roman" w:eastAsia="Times New Roman" w:cs="Times New Roman"/>
      <w:color w:val="000000"/>
      <w:sz w:val="20"/>
      <w:b w:val="true"/>
    </w:rPr>
  </w:style>
  <w:style w:type="paragraph" w:styleId="Standart_table_fin_res_detail">
    <w:name w:val="Standart_table_fin_res_detail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Standart_table_fin_res_add">
    <w:name w:val="Standart_table_fin_res_add"/>
    <w:qFormat/>
    <w:pPr>
      <w:ind/>
    </w:pPr>
    <w:rPr>
      <w:rFonts w:ascii="Times New Roman" w:hAnsi="Times New Roman" w:eastAsia="Times New Roman" w:cs="Times New Roman"/>
      <w:color w:val="000000"/>
      <w:sz w:val="24"/>
    </w:rPr>
  </w:style>
  <w:style w:type="paragraph" w:styleId="Italic_table_fin_res_add">
    <w:name w:val="Italic_table_fin_res_add"/>
    <w:qFormat/>
    <w:pPr>
      <w:ind/>
    </w:pPr>
    <w:rPr>
      <w:rFonts w:ascii="Times New Roman" w:hAnsi="Times New Roman" w:eastAsia="Times New Roman" w:cs="Times New Roman"/>
      <w:color w:val="000000"/>
      <w:sz w:val="24"/>
      <w:i w:val="true"/>
    </w:rPr>
  </w:style>
  <w:style w:type="paragraph" w:styleId="without_table_fin_res_add">
    <w:name w:val="without_table_fin_res_add"/>
    <w:qFormat/>
    <w:pPr>
      <w:ind/>
    </w:pPr>
    <w:rPr>
      <w:rFonts w:ascii="Times New Roman" w:hAnsi="Times New Roman" w:eastAsia="Times New Roman" w:cs="Times New Roman"/>
      <w:color w:val="000000"/>
      <w:sz w:val="20"/>
    </w:rPr>
  </w:style>
  <w:style w:type="paragraph" w:styleId="Bold_without_table_fin_res_add">
    <w:name w:val="Bold_without_table_fin_res_add"/>
    <w:qFormat/>
    <w:pPr>
      <w:ind/>
    </w:pPr>
    <w:rPr>
      <w:rFonts w:ascii="Times New Roman" w:hAnsi="Times New Roman" w:eastAsia="Times New Roman" w:cs="Times New Roman"/>
      <w:color w:val="000000"/>
      <w:sz w:val="20"/>
      <w:b w:val="true"/>
    </w:rPr>
  </w:style>
  <w:style w:type="paragraph" w:styleId="signature_fin_res">
    <w:name w:val="signature_fin_res"/>
    <w:qFormat/>
    <w:pPr>
      <w:ind/>
    </w:pPr>
    <w:rPr>
      <w:rFonts w:ascii="Times New Roman" w:hAnsi="Times New Roman" w:eastAsia="Times New Roman" w:cs="Times New Roman"/>
      <w:color w:val="000000"/>
      <w:sz w:val="24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 <Relationship Id="rId3" Type="http://schemas.openxmlformats.org/officeDocument/2006/relationships/fontTable" Target="fontTable.xml"/>
</Relationships>

</file>

<file path=word/_rels/fontTable.xml.rels><?xml version="1.0" encoding="UTF-8" standalone="yes"?>
<Relationships xmlns="http://schemas.openxmlformats.org/package/2006/relationships">
</Relationships>

</file>

<file path=docProps/app.xml><?xml version="1.0" encoding="utf-8"?>
<Properties xmlns="http://schemas.openxmlformats.org/officeDocument/2006/extended-properties">
  <Application>JasperReports Library version 6.15.0-dd49bfb94918336b8321d5507193f0169ead4e95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