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09" w:rsidRPr="000E7BF2" w:rsidRDefault="00F84009" w:rsidP="000E7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7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Формулы</w:t>
      </w:r>
    </w:p>
    <w:p w:rsidR="00D97621" w:rsidRPr="000E7BF2" w:rsidRDefault="00D97621" w:rsidP="00F8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7621" w:rsidRPr="000E7BF2" w:rsidRDefault="00D97621" w:rsidP="00F8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7621" w:rsidRPr="00D97621" w:rsidRDefault="00D97621" w:rsidP="00D97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E7BF2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Фондоотдача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Этот показатель призван оценить, какой объем продукции приходится на единицу стоимости основных средств (1 рубль), то есть какой доход получается на каждый рубль вложенных средств.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 макроуровнях (например, в целом по предприятию) он показывает, как соотносится объем выпуска за отчетный период к средней стоимости основных фондов за тот же временной промежуток (обычно берется годичный срок). Отраслевой уровень в качестве объема выпуска будет использовать валовую добавленную стоимость, а общеэкономический – валовой национальный продукт.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Формула для вычисления эффективности фондоотдачи: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ПФо = Vпр / Стср ОС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где: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ПФо – показатель фондоотдачи;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Vпр – объем продукции, выпущенной за определенный период (в рублях);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Стср ОС – средняя стоимость основных средств за этот же временной промежуток (также в рублях).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Чем выше полученный показатель, тем эффективнее фондоотдача.</w:t>
      </w:r>
    </w:p>
    <w:p w:rsidR="00D97621" w:rsidRPr="00D97621" w:rsidRDefault="00D97621" w:rsidP="00D97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E7BF2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Фондоемкость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Показатель, обратный фондоотдаче, который показывает, какая часть стоимости основных фондов была потрачена для производства продукции на 1 рубль. Принимается во внимание первоначальная стоимость промышленно-производственных ОС (средняя на тот период, который оценивается).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Фондоемкость показывает, какую сумму нужно потратить на основные фонды, чтобы получить в результате запланированный объем продукции. При эффективном использовании имущественных активов фондоемкость снижается, а значит, экономится труд. Ее вычисляют по такой формуле: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ПФемк = Стср ОС / Vпр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где: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ПФемк – показатель фондоемкости;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Стср ОС – средняя цифра стоимости основных средств (обычно за год);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Vпр, – выпущенный за это время объем продукции.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Если известна фондоотдача, можно узнать фондоемкость, найдя обратную величину: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ПФемк = 1 / ПФо</w:t>
      </w:r>
    </w:p>
    <w:p w:rsidR="00D97621" w:rsidRPr="00D97621" w:rsidRDefault="00D97621" w:rsidP="00D97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E7BF2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Фондовооруженность труда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Этот показатель характеризует, насколько производство оснащено, а значит, напрямую влияет и на фондоотдачу, и на фондоемкость. Он показывает, какое количество основных средств приходится на каждого сотрудника, работающего на производстве. Чтобы вычислить фондовооруженность, надо найти следующее соотношение: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ПФв = Стср ОС / ЧСсрсп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где: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ПФв – показатель фондовооруженности труда;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Стср ОС – стоимость ОС за необходимый период;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ЧСсрсп – среднесписочное число сотрудников за тот же период.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Если нужно проследить связь фондовооруженности и фондоотдачи, понадобится промежуточный показатель – производительность труда, показывающий соотношение выпускаемой продукции и численности персонала. Итак, связь упомянутых двух показателей выражается следующей формулой: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ПФв = ПрТр / ПФо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Если выпуск продукции растет, а при этом основные фонды прибавляют в стоимости не так быстро, значит, повышается общая эффективность производства.</w:t>
      </w:r>
    </w:p>
    <w:p w:rsidR="00D97621" w:rsidRPr="00D97621" w:rsidRDefault="00D97621" w:rsidP="00D97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E7BF2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Рентабельность основных фондов производства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Рентабльность показывает, какая прибыль получается в результате использования каждого рубля из стоимости основных фондов. Она показывает определенный процент эффективности. Рассчитывают ее так: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 = (Бпр / Стср ОС ) х 100%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где: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 – показатель рентабельности;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Бпр – балансовая прибыль организации за нужный период (чаще всего применяется год);</w:t>
      </w:r>
    </w:p>
    <w:p w:rsid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Стср ОС – средняя стоимость оборотных средств.</w:t>
      </w: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0D44E1" w:rsidRPr="007C7951" w:rsidRDefault="000D44E1" w:rsidP="000D44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7951">
        <w:rPr>
          <w:rFonts w:ascii="Times New Roman" w:hAnsi="Times New Roman" w:cs="Times New Roman"/>
          <w:sz w:val="24"/>
          <w:szCs w:val="24"/>
        </w:rPr>
        <w:t>Формулы рентабельности:</w:t>
      </w:r>
    </w:p>
    <w:p w:rsidR="000D44E1" w:rsidRPr="007C7951" w:rsidRDefault="000D44E1" w:rsidP="000D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D44E1" w:rsidRPr="007C7951" w:rsidRDefault="000D44E1" w:rsidP="000D44E1">
      <w:pPr>
        <w:spacing w:after="0" w:line="240" w:lineRule="auto"/>
        <w:rPr>
          <w:rFonts w:ascii="Times New Roman" w:hAnsi="Times New Roman" w:cs="Times New Roman"/>
          <w:b/>
          <w:bCs/>
          <w:color w:val="424041"/>
          <w:sz w:val="24"/>
          <w:szCs w:val="24"/>
        </w:rPr>
      </w:pPr>
      <w:r w:rsidRPr="007C7951">
        <w:rPr>
          <w:rFonts w:ascii="Times New Roman" w:hAnsi="Times New Roman" w:cs="Times New Roman"/>
          <w:b/>
          <w:bCs/>
          <w:color w:val="424041"/>
          <w:sz w:val="24"/>
          <w:szCs w:val="24"/>
        </w:rPr>
        <w:t>Валовая рентабельность = (валовая прибыль/выручка)×100%</w:t>
      </w:r>
    </w:p>
    <w:p w:rsidR="000D44E1" w:rsidRPr="007C7951" w:rsidRDefault="000D44E1" w:rsidP="000D44E1">
      <w:pPr>
        <w:spacing w:after="0" w:line="240" w:lineRule="auto"/>
        <w:rPr>
          <w:rFonts w:ascii="Times New Roman" w:hAnsi="Times New Roman" w:cs="Times New Roman"/>
          <w:b/>
          <w:bCs/>
          <w:color w:val="424041"/>
          <w:sz w:val="24"/>
          <w:szCs w:val="24"/>
        </w:rPr>
      </w:pPr>
      <w:r w:rsidRPr="007C7951">
        <w:rPr>
          <w:rFonts w:ascii="Times New Roman" w:hAnsi="Times New Roman" w:cs="Times New Roman"/>
          <w:b/>
          <w:bCs/>
          <w:color w:val="424041"/>
          <w:sz w:val="24"/>
          <w:szCs w:val="24"/>
        </w:rPr>
        <w:t>Чистая рентабельность = (чистая прибыль/выручка)×100%</w:t>
      </w:r>
    </w:p>
    <w:p w:rsidR="000D44E1" w:rsidRPr="007C7951" w:rsidRDefault="000D44E1" w:rsidP="000D44E1">
      <w:pPr>
        <w:spacing w:after="0" w:line="240" w:lineRule="auto"/>
        <w:rPr>
          <w:rFonts w:ascii="Times New Roman" w:hAnsi="Times New Roman" w:cs="Times New Roman"/>
          <w:b/>
          <w:bCs/>
          <w:color w:val="424041"/>
          <w:sz w:val="24"/>
          <w:szCs w:val="24"/>
        </w:rPr>
      </w:pPr>
      <w:r w:rsidRPr="007C7951">
        <w:rPr>
          <w:rFonts w:ascii="Times New Roman" w:hAnsi="Times New Roman" w:cs="Times New Roman"/>
          <w:b/>
          <w:bCs/>
          <w:color w:val="424041"/>
          <w:sz w:val="24"/>
          <w:szCs w:val="24"/>
        </w:rPr>
        <w:t>Рентабельность продаж = (прибыль от продаж/выручка)×100%</w:t>
      </w:r>
    </w:p>
    <w:p w:rsidR="000D44E1" w:rsidRDefault="000D44E1" w:rsidP="000D44E1"/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pStyle w:val="futurismarkdown-paragraph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Некоторые формулы для расчёта коэффициентов финансовой устойчивости: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финансовой устойчивости (КФУ)</w:t>
      </w:r>
      <w:r>
        <w:rPr>
          <w:rFonts w:ascii="Arial" w:hAnsi="Arial" w:cs="Arial"/>
          <w:color w:val="333333"/>
          <w:sz w:val="16"/>
          <w:szCs w:val="16"/>
        </w:rPr>
        <w:t>. Показывает, насколько надёжными источниками финансирования пользуется компания. Формула расчёта: КФУ = (собственный капитал + долгосрочные обязательства) / общие активы. 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автономии или независимости (КА)</w:t>
      </w:r>
      <w:r>
        <w:rPr>
          <w:rFonts w:ascii="Arial" w:hAnsi="Arial" w:cs="Arial"/>
          <w:color w:val="333333"/>
          <w:sz w:val="16"/>
          <w:szCs w:val="16"/>
        </w:rPr>
        <w:t>. Показывает, какова доля собственных денежных средств в капитале компании. Формула расчёта: КА = собственный капитал / общие активы. 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соотношения заёмных и собственных средств (КСЗСС)</w:t>
      </w:r>
      <w:r>
        <w:rPr>
          <w:rFonts w:ascii="Arial" w:hAnsi="Arial" w:cs="Arial"/>
          <w:color w:val="333333"/>
          <w:sz w:val="16"/>
          <w:szCs w:val="16"/>
        </w:rPr>
        <w:t>. Показывает, сколько заёмных средств приходится на каждый рубль капитала. Формула расчёта: КСЗСС = заёмный капитал / собственный капитал. 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маневренности собственного капитала (КМ)</w:t>
      </w:r>
      <w:r>
        <w:rPr>
          <w:rFonts w:ascii="Arial" w:hAnsi="Arial" w:cs="Arial"/>
          <w:color w:val="333333"/>
          <w:sz w:val="16"/>
          <w:szCs w:val="16"/>
        </w:rPr>
        <w:t>. Показывает, сколько составляют свои оборотные средства в капитале компании. Формула расчёта: КМ = собственные оборотные средства / собственный капитал, где собственные оборотные средства = собственный капитал − внеоборотные активы. 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краткосрочной задолженности (ККЗ)</w:t>
      </w:r>
      <w:r>
        <w:rPr>
          <w:rFonts w:ascii="Arial" w:hAnsi="Arial" w:cs="Arial"/>
          <w:color w:val="333333"/>
          <w:sz w:val="16"/>
          <w:szCs w:val="16"/>
        </w:rPr>
        <w:t>. Показывает, какова доля краткосрочных обязательств в общей сумме долгов. Формула расчёта: ККЗ = краткосрочные обязательства / (краткосрочные обязательства + долгосрочные обязательства). 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платёжеспособности организации по текущим обязательствам (КП)</w:t>
      </w:r>
      <w:r>
        <w:rPr>
          <w:rFonts w:ascii="Arial" w:hAnsi="Arial" w:cs="Arial"/>
          <w:color w:val="333333"/>
          <w:sz w:val="16"/>
          <w:szCs w:val="16"/>
        </w:rPr>
        <w:t>. Показывает, за какой период компания сможет при текущих доходах рассчитаться по долгам. Формула расчёта: КП = краткосрочные обязательства / среднемесячная выручка. </w:t>
      </w: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pStyle w:val="a4"/>
      </w:pPr>
      <w:r>
        <w:rPr>
          <w:noProof/>
        </w:rPr>
        <w:drawing>
          <wp:inline distT="0" distB="0" distL="0" distR="0">
            <wp:extent cx="5914636" cy="3329940"/>
            <wp:effectExtent l="19050" t="0" r="0" b="0"/>
            <wp:docPr id="1" name="Рисунок 1" descr="C:\Users\Ольга\Desktop\Koeffitsient-pokrytiya-investitsi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Koeffitsient-pokrytiya-investitsij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636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F31" w:rsidRPr="00D9762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sectPr w:rsidR="00182F31" w:rsidRPr="00D97621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37" w:rsidRDefault="00F90B37" w:rsidP="00EA5502">
      <w:pPr>
        <w:spacing w:after="0" w:line="240" w:lineRule="auto"/>
      </w:pPr>
      <w:r>
        <w:separator/>
      </w:r>
    </w:p>
  </w:endnote>
  <w:endnote w:type="continuationSeparator" w:id="1">
    <w:p w:rsidR="00F90B37" w:rsidRDefault="00F90B37" w:rsidP="00EA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37" w:rsidRDefault="00F90B37" w:rsidP="00EA5502">
      <w:pPr>
        <w:spacing w:after="0" w:line="240" w:lineRule="auto"/>
      </w:pPr>
      <w:r>
        <w:separator/>
      </w:r>
    </w:p>
  </w:footnote>
  <w:footnote w:type="continuationSeparator" w:id="1">
    <w:p w:rsidR="00F90B37" w:rsidRDefault="00F90B37" w:rsidP="00EA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02" w:rsidRPr="00EA5502" w:rsidRDefault="00EA5502" w:rsidP="00EA550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EA5502">
      <w:rPr>
        <w:rFonts w:ascii="Times New Roman" w:hAnsi="Times New Roman" w:cs="Times New Roman"/>
        <w:sz w:val="24"/>
        <w:szCs w:val="24"/>
      </w:rPr>
      <w:t xml:space="preserve">ПРИЛОЖЕНИЕ </w:t>
    </w:r>
    <w:r w:rsidR="002D1762">
      <w:rPr>
        <w:rFonts w:ascii="Times New Roman" w:hAnsi="Times New Roman" w:cs="Times New Roman"/>
        <w:sz w:val="24"/>
        <w:szCs w:val="24"/>
      </w:rPr>
      <w:t>2</w:t>
    </w:r>
  </w:p>
  <w:p w:rsidR="00EA5502" w:rsidRDefault="00EA55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C5F"/>
    <w:multiLevelType w:val="multilevel"/>
    <w:tmpl w:val="5CD2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07EF3"/>
    <w:multiLevelType w:val="multilevel"/>
    <w:tmpl w:val="1B1C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009"/>
    <w:rsid w:val="000D44E1"/>
    <w:rsid w:val="000E7BF2"/>
    <w:rsid w:val="00182F31"/>
    <w:rsid w:val="00223591"/>
    <w:rsid w:val="002D1762"/>
    <w:rsid w:val="00453A61"/>
    <w:rsid w:val="00521542"/>
    <w:rsid w:val="00772E5C"/>
    <w:rsid w:val="0084232E"/>
    <w:rsid w:val="00B67ECA"/>
    <w:rsid w:val="00C403C3"/>
    <w:rsid w:val="00C864CB"/>
    <w:rsid w:val="00D46BFF"/>
    <w:rsid w:val="00D97621"/>
    <w:rsid w:val="00EA5502"/>
    <w:rsid w:val="00F84009"/>
    <w:rsid w:val="00F90B37"/>
    <w:rsid w:val="00FC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paragraph" w:styleId="2">
    <w:name w:val="heading 2"/>
    <w:basedOn w:val="a"/>
    <w:link w:val="20"/>
    <w:uiPriority w:val="9"/>
    <w:qFormat/>
    <w:rsid w:val="00D97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0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97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9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7621"/>
    <w:rPr>
      <w:b/>
      <w:bCs/>
    </w:rPr>
  </w:style>
  <w:style w:type="paragraph" w:customStyle="1" w:styleId="hlbdr">
    <w:name w:val="hl_bdr"/>
    <w:basedOn w:val="a"/>
    <w:rsid w:val="00D9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A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502"/>
  </w:style>
  <w:style w:type="paragraph" w:styleId="a8">
    <w:name w:val="footer"/>
    <w:basedOn w:val="a"/>
    <w:link w:val="a9"/>
    <w:uiPriority w:val="99"/>
    <w:semiHidden/>
    <w:unhideWhenUsed/>
    <w:rsid w:val="00EA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502"/>
  </w:style>
  <w:style w:type="paragraph" w:styleId="aa">
    <w:name w:val="Balloon Text"/>
    <w:basedOn w:val="a"/>
    <w:link w:val="ab"/>
    <w:uiPriority w:val="99"/>
    <w:semiHidden/>
    <w:unhideWhenUsed/>
    <w:rsid w:val="00EA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502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18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12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820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383">
          <w:marLeft w:val="0"/>
          <w:marRight w:val="0"/>
          <w:marTop w:val="240"/>
          <w:marBottom w:val="240"/>
          <w:divBdr>
            <w:top w:val="single" w:sz="12" w:space="0" w:color="FF6600"/>
            <w:left w:val="single" w:sz="12" w:space="0" w:color="FF6600"/>
            <w:bottom w:val="single" w:sz="12" w:space="0" w:color="FF6600"/>
            <w:right w:val="single" w:sz="12" w:space="0" w:color="FF66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2024-10-11T21:37:00Z</dcterms:created>
  <dcterms:modified xsi:type="dcterms:W3CDTF">2024-10-11T21:37:00Z</dcterms:modified>
</cp:coreProperties>
</file>