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21" w:rsidRDefault="00B7658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0" w:name="_Toc72581164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B76581" w:rsidRPr="00B76581" w:rsidRDefault="00B76581" w:rsidP="00A05F21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Подходы к определению </w:t>
      </w:r>
      <w:proofErr w:type="spellStart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бюджетирования</w:t>
      </w:r>
      <w:bookmarkEnd w:id="0"/>
      <w:proofErr w:type="spellEnd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411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83"/>
        <w:gridCol w:w="1929"/>
      </w:tblGrid>
      <w:tr w:rsidR="00B76581" w:rsidRPr="00B76581" w:rsidTr="00851BF9">
        <w:trPr>
          <w:trHeight w:val="220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6581" w:rsidRPr="00B76581" w:rsidRDefault="00B76581" w:rsidP="00B76581">
            <w:pPr>
              <w:spacing w:after="0" w:line="240" w:lineRule="auto"/>
              <w:ind w:left="6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6581" w:rsidRPr="00B76581" w:rsidRDefault="00B76581" w:rsidP="00B76581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</w:p>
        </w:tc>
      </w:tr>
      <w:tr w:rsidR="00B76581" w:rsidRPr="00B76581" w:rsidTr="00851BF9">
        <w:trPr>
          <w:trHeight w:val="220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формирования бюджетов с использованием определенных правил.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 О. Д.</w:t>
            </w:r>
          </w:p>
        </w:tc>
      </w:tr>
      <w:tr w:rsidR="00B76581" w:rsidRPr="00B76581" w:rsidTr="00851BF9">
        <w:trPr>
          <w:trHeight w:val="544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Непрерывный циклический процесс формирования бюджетов, направленный на приведение в соответствие возможностей организации условиям рынка, и контроля за их выполнением.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Гущина И.Э.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Балакирева</w:t>
            </w:r>
            <w:proofErr w:type="spellEnd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B76581" w:rsidRPr="00B76581" w:rsidTr="00851BF9">
        <w:trPr>
          <w:trHeight w:val="212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планирования будущей деятельности предприятия, результаты которого оформляются системой бюджетов.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 В.П.</w:t>
            </w:r>
          </w:p>
        </w:tc>
      </w:tr>
      <w:tr w:rsidR="00B76581" w:rsidRPr="00B76581" w:rsidTr="00851BF9">
        <w:trPr>
          <w:trHeight w:val="304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финансового планирования, учета и контроля доходов и расходов, получаемых от бизнеса на всех уровнях управления, которая позволяет анализировать прогнозируемые и полученные финансовые показатели.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Хруцкий</w:t>
            </w:r>
            <w:proofErr w:type="spellEnd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В.Е., Гамаюнов В.В.</w:t>
            </w:r>
          </w:p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</w:tr>
      <w:tr w:rsidR="00B76581" w:rsidRPr="00B76581" w:rsidTr="00851BF9">
        <w:trPr>
          <w:trHeight w:val="599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планирования будущей хозяйственной деятельности предприятия, результаты которого оформляются системой бюджетов.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Сироткин С. А. ,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Кельчевская</w:t>
            </w:r>
            <w:proofErr w:type="spellEnd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Н.Р. </w:t>
            </w:r>
          </w:p>
        </w:tc>
      </w:tr>
      <w:tr w:rsidR="00B76581" w:rsidRPr="00B76581" w:rsidTr="00851BF9">
        <w:trPr>
          <w:trHeight w:val="544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согласованного планирования и управления деятельностью организации с помощью бюджетов (смет) и экономических показателей, позволяющих определить вклад каждого подразделения и каждого менеджера в достижение общих целей.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О.Н.</w:t>
            </w:r>
          </w:p>
        </w:tc>
      </w:tr>
      <w:tr w:rsidR="00B76581" w:rsidRPr="00B76581" w:rsidTr="00851BF9">
        <w:trPr>
          <w:trHeight w:val="921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детализированный уровень планирования. Бюджетирование представляет собой процесс подготовки отдельных бюджетов по структурным подразделениям или функциональным сферам организации, разработанных на основе утвержденных высшим руководством программ.</w:t>
            </w:r>
          </w:p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Бюджетирование - система внутреннего финансового управления.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О.Е., Шишкова Т.В.,</w:t>
            </w:r>
          </w:p>
        </w:tc>
      </w:tr>
      <w:tr w:rsidR="00B76581" w:rsidRPr="00B76581" w:rsidTr="00851BF9">
        <w:trPr>
          <w:trHeight w:val="732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внутрифирменного управления с помощью определенных финансовых инструментов, называемых бюджетами. Бюджетирование объединяет данные планирования, учета и контроля и анализа стоимостных показателей деятельности организации.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В.Б.</w:t>
            </w:r>
          </w:p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</w:tr>
      <w:tr w:rsidR="00B76581" w:rsidRPr="00B76581" w:rsidTr="00851BF9">
        <w:trPr>
          <w:trHeight w:val="220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составление общего бюджета - количественного плана в денежном выражении.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</w:t>
            </w:r>
            <w:proofErr w:type="spellEnd"/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B76581" w:rsidRPr="00B76581" w:rsidTr="00851BF9">
        <w:trPr>
          <w:trHeight w:val="339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 планирования. Планирование - умение предвидеть цели предприятия, результат его деятельности и ресурсы, необходимые для достижения цели.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 В.Э.</w:t>
            </w:r>
          </w:p>
        </w:tc>
      </w:tr>
      <w:tr w:rsidR="00B76581" w:rsidRPr="00B76581" w:rsidTr="00851BF9">
        <w:trPr>
          <w:trHeight w:val="214"/>
          <w:jc w:val="center"/>
        </w:trPr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конкретных программ действий - бюджетов.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Л. С.</w:t>
            </w:r>
            <w:r w:rsidRPr="00B7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М.В.</w:t>
            </w:r>
          </w:p>
        </w:tc>
      </w:tr>
    </w:tbl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" w:name="_Toc503264997"/>
      <w:bookmarkStart w:id="2" w:name="_Toc72581165"/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A05F2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05F21" w:rsidRDefault="00B7658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  <w:bookmarkEnd w:id="1"/>
    </w:p>
    <w:p w:rsidR="00B76581" w:rsidRPr="00B76581" w:rsidRDefault="00B76581" w:rsidP="00B76581">
      <w:pPr>
        <w:keepNext/>
        <w:keepLines/>
        <w:spacing w:before="240" w:after="0" w:line="240" w:lineRule="auto"/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Классификация бюджетов</w:t>
      </w:r>
      <w:bookmarkEnd w:id="2"/>
    </w:p>
    <w:p w:rsidR="00B76581" w:rsidRPr="00B76581" w:rsidRDefault="00B76581" w:rsidP="00B76581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</w:p>
    <w:p w:rsidR="00B76581" w:rsidRPr="00B76581" w:rsidRDefault="00B76581" w:rsidP="00B76581">
      <w:pPr>
        <w:tabs>
          <w:tab w:val="left" w:pos="4662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3"/>
        <w:tblW w:w="145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0"/>
        <w:gridCol w:w="1615"/>
        <w:gridCol w:w="2001"/>
        <w:gridCol w:w="1442"/>
        <w:gridCol w:w="1517"/>
        <w:gridCol w:w="1628"/>
        <w:gridCol w:w="1698"/>
        <w:gridCol w:w="1472"/>
        <w:gridCol w:w="1592"/>
        <w:gridCol w:w="29"/>
      </w:tblGrid>
      <w:tr w:rsidR="00B76581" w:rsidRPr="00B76581" w:rsidTr="00851BF9">
        <w:trPr>
          <w:trHeight w:val="209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Критерий </w:t>
            </w:r>
          </w:p>
        </w:tc>
        <w:tc>
          <w:tcPr>
            <w:tcW w:w="129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Исследователи</w:t>
            </w:r>
          </w:p>
        </w:tc>
      </w:tr>
      <w:tr w:rsidR="00B76581" w:rsidRPr="00B76581" w:rsidTr="00851BF9">
        <w:trPr>
          <w:gridAfter w:val="1"/>
          <w:wAfter w:w="29" w:type="dxa"/>
          <w:trHeight w:val="641"/>
        </w:trPr>
        <w:tc>
          <w:tcPr>
            <w:tcW w:w="1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Вахрушина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В.Б. Ивашкевич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В.Э. Керимов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А.Д.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</w:t>
            </w:r>
            <w:proofErr w:type="spellEnd"/>
          </w:p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Т.В. Шишкова, О.Е. Николаева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С.А. Сироткин, Н.Р.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Кельчевская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В.Е.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Хруцкий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О.Д. Каверина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Л.С. Васильева, М.В. Петровская</w:t>
            </w:r>
          </w:p>
        </w:tc>
      </w:tr>
      <w:tr w:rsidR="00B76581" w:rsidRPr="00B76581" w:rsidTr="00851BF9">
        <w:trPr>
          <w:gridAfter w:val="1"/>
          <w:wAfter w:w="29" w:type="dxa"/>
          <w:trHeight w:val="1295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Полнота информации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и генеральный (операционный + финансовый) бюджеты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Частные, главный (операционный + финансовый), специализированные, общий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(операционный + финансовый) и частные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(операционный + финансовый)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Сводный, основные, операционные, вспомогательные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Сводный, мастер-бюджет, основные, операционные, вспомогательные, специальные (дополнительные)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(операционный + финансовый)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и генеральный (операционный + финансовый) бюджеты</w:t>
            </w:r>
          </w:p>
        </w:tc>
      </w:tr>
      <w:tr w:rsidR="00B76581" w:rsidRPr="00B76581" w:rsidTr="00851BF9">
        <w:trPr>
          <w:gridAfter w:val="1"/>
          <w:wAfter w:w="29" w:type="dxa"/>
          <w:trHeight w:val="751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промежуток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и перспективный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Краткосрочные, среднесрочные, долгосрочные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Действующий бюджет и ежемесячные планы доходов и расходов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Краткосрочные, долгосрочные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Текущие, стратегические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581" w:rsidRPr="00B76581" w:rsidTr="00851BF9">
        <w:trPr>
          <w:gridAfter w:val="1"/>
          <w:wAfter w:w="29" w:type="dxa"/>
          <w:trHeight w:val="631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планирования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Дискретные и скользящие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Пессимистический, вероятностный, оптимистический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Дискретные и скользящие (непрерывные)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Дискретные и скользящие </w:t>
            </w:r>
          </w:p>
        </w:tc>
      </w:tr>
      <w:tr w:rsidR="00B76581" w:rsidRPr="00B76581" w:rsidTr="00851BF9">
        <w:trPr>
          <w:gridAfter w:val="1"/>
          <w:wAfter w:w="29" w:type="dxa"/>
          <w:trHeight w:val="423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использования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Гибкие и статические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Статические, гибкие и специальные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Гибкие и статические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Гибкие и статические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581" w:rsidRPr="00B76581" w:rsidRDefault="00B76581" w:rsidP="00B76581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Гибкие и статические</w:t>
            </w:r>
          </w:p>
        </w:tc>
      </w:tr>
    </w:tbl>
    <w:p w:rsidR="00B76581" w:rsidRPr="00B76581" w:rsidRDefault="00B76581" w:rsidP="00B7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F21" w:rsidRDefault="00B76581" w:rsidP="00A05F21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3" w:name="_Toc72581166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3 </w:t>
      </w:r>
    </w:p>
    <w:p w:rsidR="00B76581" w:rsidRPr="00B76581" w:rsidRDefault="00B76581" w:rsidP="00B76581">
      <w:pPr>
        <w:keepNext/>
        <w:keepLines/>
        <w:spacing w:before="240" w:after="0" w:line="240" w:lineRule="auto"/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</w:rPr>
        <w:t>Схема составления бюджетов</w:t>
      </w:r>
      <w:bookmarkEnd w:id="3"/>
    </w:p>
    <w:tbl>
      <w:tblPr>
        <w:tblStyle w:val="a3"/>
        <w:tblpPr w:leftFromText="180" w:rightFromText="180" w:vertAnchor="text" w:horzAnchor="margin" w:tblpY="5"/>
        <w:tblW w:w="0" w:type="auto"/>
        <w:tblLayout w:type="fixed"/>
        <w:tblLook w:val="04A0"/>
      </w:tblPr>
      <w:tblGrid>
        <w:gridCol w:w="664"/>
        <w:gridCol w:w="2308"/>
        <w:gridCol w:w="11306"/>
      </w:tblGrid>
      <w:tr w:rsidR="00B76581" w:rsidRPr="00B76581" w:rsidTr="00851BF9">
        <w:trPr>
          <w:trHeight w:val="282"/>
        </w:trPr>
        <w:tc>
          <w:tcPr>
            <w:tcW w:w="664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8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06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Порядок составления</w:t>
            </w:r>
          </w:p>
        </w:tc>
      </w:tr>
      <w:tr w:rsidR="00B76581" w:rsidRPr="00B76581" w:rsidTr="00851BF9">
        <w:trPr>
          <w:trHeight w:val="1731"/>
        </w:trPr>
        <w:tc>
          <w:tcPr>
            <w:tcW w:w="664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продаж</w:t>
            </w:r>
          </w:p>
        </w:tc>
        <w:tc>
          <w:tcPr>
            <w:tcW w:w="11306" w:type="dxa"/>
          </w:tcPr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Разработка бюджета продаж - первый и наиболее сложный этап планирования хозяйственной деятельности организации. Связано это с тем, что объем продаж зависит не только от производственных возможностей предприятия, так и от ряда внешних факторов: таких как, деятельности конкурентов, стабильности национального рынка, циклические и сезонные колебания, результативность рекламы.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продаж предприятия, выпускающего готовую продукцию, содержит данные об объемах готовой продукции на начало и конец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бюджетируемого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периода.</w:t>
            </w:r>
          </w:p>
        </w:tc>
      </w:tr>
      <w:tr w:rsidR="00B76581" w:rsidRPr="00B76581" w:rsidTr="00851BF9">
        <w:trPr>
          <w:trHeight w:val="695"/>
        </w:trPr>
        <w:tc>
          <w:tcPr>
            <w:tcW w:w="664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8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коммерческих расходов</w:t>
            </w:r>
          </w:p>
        </w:tc>
        <w:tc>
          <w:tcPr>
            <w:tcW w:w="11306" w:type="dxa"/>
          </w:tcPr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Следующим бюджетом, за исполнение которого также отвечает отдел продаж, является бюджет коммерческих расходов. В нем детализированы постоянные (расходы на рекламу, заработная плата) и переменные (транспортные, комиссионные) расходы организации </w:t>
            </w:r>
            <w:r w:rsidRPr="00B76581">
              <w:rPr>
                <w:rFonts w:ascii="Times New Roman" w:eastAsia="Times New Roman" w:hAnsi="Times New Roman"/>
                <w:noProof/>
                <w:sz w:val="24"/>
                <w:szCs w:val="24"/>
              </w:rPr>
              <w:t>[24].</w:t>
            </w:r>
          </w:p>
        </w:tc>
      </w:tr>
      <w:tr w:rsidR="00B76581" w:rsidRPr="00B76581" w:rsidTr="00851BF9">
        <w:trPr>
          <w:trHeight w:val="2545"/>
        </w:trPr>
        <w:tc>
          <w:tcPr>
            <w:tcW w:w="664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производства</w:t>
            </w:r>
          </w:p>
        </w:tc>
        <w:tc>
          <w:tcPr>
            <w:tcW w:w="11306" w:type="dxa"/>
          </w:tcPr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Объем производства рассчитывается как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V=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Vпр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Zgкп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Zgнп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br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                     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 - объем производства,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Vпр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продаж,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Zgкп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запасы готовой продукции на конец периода,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Zgнп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запасы готовой продукции на начало периода,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br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потери от брака.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еобходимо учитывать, что объем производства не может превышать производственных возможностей организации</w:t>
            </w:r>
            <w:r w:rsidRPr="00B765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[8].</w:t>
            </w:r>
          </w:p>
        </w:tc>
      </w:tr>
      <w:tr w:rsidR="00B76581" w:rsidRPr="00B76581" w:rsidTr="00851BF9">
        <w:trPr>
          <w:trHeight w:val="2545"/>
        </w:trPr>
        <w:tc>
          <w:tcPr>
            <w:tcW w:w="664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308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использования материалов</w:t>
            </w:r>
          </w:p>
        </w:tc>
        <w:tc>
          <w:tcPr>
            <w:tcW w:w="11306" w:type="dxa"/>
          </w:tcPr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Затраты на сырье и материалы для производства продукции рассчитываются в бюджете использования материалов, который составляется с учетом данных бюджетов продаж и производства. 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Vm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= M(V) –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Zmнп+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                     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Vm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закупок материала в натуральных единицах,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M(V) - необходимое сырье и  материалы для заданного объема производства,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запасы материалов на начало периода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– запасы материалов на конец периода.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6581" w:rsidRPr="00B76581" w:rsidRDefault="00B76581" w:rsidP="00B7658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63"/>
        <w:gridCol w:w="3075"/>
        <w:gridCol w:w="10540"/>
      </w:tblGrid>
      <w:tr w:rsidR="00B76581" w:rsidRPr="00B76581" w:rsidTr="00851BF9">
        <w:trPr>
          <w:trHeight w:val="282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составления</w:t>
            </w:r>
          </w:p>
        </w:tc>
      </w:tr>
      <w:tr w:rsidR="00B76581" w:rsidRPr="00B76581" w:rsidTr="00851BF9">
        <w:trPr>
          <w:trHeight w:val="2710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закупок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Потребность в материальность ресурсах на производства на текущий периода рассчитывается следующим образом: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Vm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= M(V) –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Zmнп+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Vm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закупок материала в натуральных единицах,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M(V) - необходимое сырье и  материалы для заданного объема производства,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запасы материалов на начало периода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Zmкп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– запасы материалов на конец периода. 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Стоимость закупок материалов и сырья определяется по формуле: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=S(M(V)) - S(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Zm</w:t>
            </w: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где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S(M(V)) - стоимость необходимого сырья и материалов для заданного объема производства,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S(</w:t>
            </w:r>
            <w:proofErr w:type="spellStart"/>
            <w:proofErr w:type="gram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Zm</w:t>
            </w:r>
            <w:proofErr w:type="gram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нп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) - стоимость запасов сырья и  материалов на начало периода.</w:t>
            </w:r>
          </w:p>
          <w:p w:rsidR="00B76581" w:rsidRPr="00B76581" w:rsidRDefault="00B76581" w:rsidP="00B76581">
            <w:pPr>
              <w:widowControl w:val="0"/>
              <w:tabs>
                <w:tab w:val="left" w:pos="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581" w:rsidRPr="00B76581" w:rsidTr="00851BF9">
        <w:trPr>
          <w:trHeight w:val="3450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трудовых затрат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Может быть представлен как  во временном выражени</w:t>
            </w:r>
            <w:proofErr w:type="gram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по часам) так  и в денежном </w:t>
            </w:r>
            <w:r w:rsidRPr="00B765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[24]. </w:t>
            </w: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Данный бюджет учитывает время в часах, необходимое для производства заданного объема продукции, и может быть рассчитан по формуле.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Т  = V *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Т - время, требуемое для производства запланированного объема продукции,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время, требуемое для производства единицы продукции.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Кроме того, в бюджете трудовых затрат отражаются расходы на оплату труда работников основного производства: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S(Т) = Т *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- часовая ставка оплаты труда.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18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581" w:rsidRPr="00B76581" w:rsidTr="00851BF9">
        <w:trPr>
          <w:trHeight w:val="556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составления</w:t>
            </w:r>
          </w:p>
        </w:tc>
      </w:tr>
      <w:tr w:rsidR="00B76581" w:rsidRPr="00B76581" w:rsidTr="00851BF9">
        <w:trPr>
          <w:trHeight w:val="1043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общепроизводственных расходов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Остальные производственные затраты, такие как амортизация, аренда оборудования, ремонт оборудования, рассчитываются в бюджете общепроизводственных расходов.</w:t>
            </w:r>
          </w:p>
        </w:tc>
      </w:tr>
      <w:tr w:rsidR="00B76581" w:rsidRPr="00B76581" w:rsidTr="00851BF9">
        <w:trPr>
          <w:trHeight w:val="1827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себестоимости произведенной продукции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Бюджеты общепроизводственных расходов, трудовых затрат и прямых затрат на материалы и сырье складываются и формируют собой бюджет себестоимости произведенной продукции: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С/с = S(Т) + S(M(V)) +  S(оп), где                                                          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S(оп) - общепроизводственные расходы.</w:t>
            </w:r>
          </w:p>
        </w:tc>
      </w:tr>
      <w:tr w:rsidR="00B76581" w:rsidRPr="00B76581" w:rsidTr="00851BF9">
        <w:trPr>
          <w:trHeight w:val="1752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общих и управленческих расходов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Расходы, не связанные с производством и сбытом готовой продукции, а направленные на поддержание деятельности организации в целом, учитываются в бюджете общих и управленческих расходов. В этом бюджете могут быть отражены расходы на содержание офиса, административно - управленческий персонал, проценты по полученным кредитам </w:t>
            </w:r>
            <w:r w:rsidRPr="00B76581">
              <w:rPr>
                <w:rFonts w:ascii="Times New Roman" w:eastAsia="Times New Roman" w:hAnsi="Times New Roman"/>
                <w:noProof/>
                <w:sz w:val="24"/>
                <w:szCs w:val="24"/>
              </w:rPr>
              <w:t>[8].</w:t>
            </w:r>
          </w:p>
        </w:tc>
      </w:tr>
      <w:tr w:rsidR="00B76581" w:rsidRPr="00B76581" w:rsidTr="00851BF9">
        <w:trPr>
          <w:trHeight w:val="1690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отчет о прибылях и убытках</w:t>
            </w:r>
          </w:p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Заключительным этом этапом подготовки оперативного бюджета является создание прогнозного отчета о прибылях и убытках. Бюджет продаж служит источником формирования ожидаемых доходов организации, а информация о затратах представлена в бюджетах себестоимости продукции, коммерческих, производственных, трудовых, общих и управленческих расходов.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581" w:rsidRPr="00B76581" w:rsidTr="00851BF9">
        <w:trPr>
          <w:trHeight w:val="95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составления</w:t>
            </w:r>
          </w:p>
        </w:tc>
      </w:tr>
      <w:tr w:rsidR="00B76581" w:rsidRPr="00B76581" w:rsidTr="00851BF9">
        <w:trPr>
          <w:trHeight w:val="2271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капитальных вложений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Отражаются инвестиции, осуществляемые и привлекаемые организацией. Приобретение основных средств и нематериальных активов, осуществление строительных работ, совершенствование технологии производства, а также транспортные и установочные расходы учитываются в бюджете капитальных вложений. Таким образом, эти данные изменяют сальдо на счетах </w:t>
            </w:r>
            <w:proofErr w:type="spellStart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внеоборотных</w:t>
            </w:r>
            <w:proofErr w:type="spellEnd"/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активов, оказывая влияния на прогнозный бухгалтерский баланс. Инвестиционный бюджет оказывает также значительное влияние на прогноз денежных потоков, или бюджет денежных средств</w:t>
            </w:r>
            <w:r w:rsidRPr="00B765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[24].</w:t>
            </w:r>
          </w:p>
        </w:tc>
      </w:tr>
      <w:tr w:rsidR="00B76581" w:rsidRPr="00B76581" w:rsidTr="00851BF9">
        <w:trPr>
          <w:trHeight w:val="2259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денежных потоков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>Прогноз денежных потоков разрабатывается после составления оперативного бюджета и бюджета капитальных вложений и представляет собой план поступления денежных средств и выплат на предстоящий период. С помощью бюджета денежных средств осуществляется контроль ежемесячного финансового положения организации. Данный инструмент позволяет отслеживать наличие у организации оборотных средств в каждый момент времени, и сигнализировать о необходимости привлечения заемного капитала в случае отрицательного сальдо бюджета денежных средств на предстоящий период.</w:t>
            </w:r>
          </w:p>
        </w:tc>
      </w:tr>
      <w:tr w:rsidR="00B76581" w:rsidRPr="00B76581" w:rsidTr="00851BF9">
        <w:trPr>
          <w:trHeight w:val="1617"/>
        </w:trPr>
        <w:tc>
          <w:tcPr>
            <w:tcW w:w="663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5" w:type="dxa"/>
          </w:tcPr>
          <w:p w:rsidR="00B76581" w:rsidRPr="00B76581" w:rsidRDefault="00B76581" w:rsidP="00B765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бухгалтерский баланс</w:t>
            </w:r>
          </w:p>
        </w:tc>
        <w:tc>
          <w:tcPr>
            <w:tcW w:w="10540" w:type="dxa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40"/>
              <w:ind w:right="-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581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 создания финансового, также как и генерального, образованного прогнозным отчетом о финансовых результатах, бюджетом капитальных вложений и бюджетом движения денежных средств, завершается разработкой прогнозного бухгалтерского баланса, в основе которого лежат все подготовленные ранее бюджеты. </w:t>
            </w:r>
          </w:p>
        </w:tc>
      </w:tr>
    </w:tbl>
    <w:p w:rsidR="00B76581" w:rsidRPr="00B76581" w:rsidRDefault="00B76581" w:rsidP="00B7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81" w:rsidRPr="00B76581" w:rsidRDefault="00B76581" w:rsidP="00B76581">
      <w:pPr>
        <w:keepNext/>
        <w:keepLines/>
        <w:spacing w:before="240"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/>
      </w:r>
    </w:p>
    <w:p w:rsidR="00B76581" w:rsidRPr="00B76581" w:rsidRDefault="00B76581" w:rsidP="00B76581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765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5F21" w:rsidRDefault="00B76581" w:rsidP="00A05F21">
      <w:pPr>
        <w:keepNext/>
        <w:keepLines/>
        <w:spacing w:before="240"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" w:name="_Toc72581167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4 </w:t>
      </w:r>
    </w:p>
    <w:p w:rsidR="00B76581" w:rsidRPr="00B76581" w:rsidRDefault="00B76581" w:rsidP="00B76581">
      <w:pPr>
        <w:keepNext/>
        <w:keepLines/>
        <w:spacing w:before="240" w:after="0" w:line="240" w:lineRule="auto"/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Различия технологий </w:t>
      </w:r>
      <w:proofErr w:type="spellStart"/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бюджетирования</w:t>
      </w:r>
      <w:bookmarkEnd w:id="4"/>
      <w:proofErr w:type="spellEnd"/>
    </w:p>
    <w:p w:rsidR="00B76581" w:rsidRPr="00B76581" w:rsidRDefault="00B76581" w:rsidP="00B7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581" w:rsidRPr="00B76581" w:rsidRDefault="00B76581" w:rsidP="00B7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6040"/>
        <w:gridCol w:w="5903"/>
      </w:tblGrid>
      <w:tr w:rsidR="00B76581" w:rsidRPr="00B76581" w:rsidTr="00851BF9">
        <w:trPr>
          <w:trHeight w:val="315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Критерии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Метод прироста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Метод нулевого базиса</w:t>
            </w:r>
          </w:p>
        </w:tc>
      </w:tr>
      <w:tr w:rsidR="00B76581" w:rsidRPr="00B76581" w:rsidTr="00851BF9">
        <w:trPr>
          <w:trHeight w:val="657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Субъект </w:t>
            </w:r>
            <w:proofErr w:type="spellStart"/>
            <w:r w:rsidRPr="00B7658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Бюджет представляет собой финансовый план отдела или функции.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Бюджет представляет собой финансовый план программы или проекта. </w:t>
            </w:r>
          </w:p>
        </w:tc>
      </w:tr>
      <w:tr w:rsidR="00B76581" w:rsidRPr="00B76581" w:rsidTr="00851BF9">
        <w:trPr>
          <w:trHeight w:val="631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Способ построения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Бюджет построен путем экстраполяции финансовых показателей прошлого периода с учетом инфляции.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Представление проекта или программы для принятия решений предполагает создание бюджета, учитывающего инфляцию. </w:t>
            </w:r>
          </w:p>
        </w:tc>
      </w:tr>
      <w:tr w:rsidR="00B76581" w:rsidRPr="00B76581" w:rsidTr="00851BF9">
        <w:trPr>
          <w:trHeight w:val="947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Решение проблемы финансовых ограничений 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Сокращение финансирования влияет на некоторые строки бюджетов.   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Проекты, не соответствующие целям организации и ресурсным ограничениям не финансируются. </w:t>
            </w:r>
          </w:p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B76581" w:rsidRPr="00B76581" w:rsidTr="00851BF9">
        <w:trPr>
          <w:trHeight w:val="947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1765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Связь бюджетов со стратегическими задачами компании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Связь с целями и задачами коммерческой организацией неочевидна.  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Решение по принятию проекта или программы непосредственно связано с целями и задачами организации. </w:t>
            </w:r>
          </w:p>
        </w:tc>
      </w:tr>
      <w:tr w:rsidR="00B76581" w:rsidRPr="00B76581" w:rsidTr="00851BF9">
        <w:trPr>
          <w:trHeight w:val="1578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Объективность принимаемых решений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-8"/>
              <w:contextualSpacing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Убедительность запросов дефицитных ресурсов зачастую подкрепляется эмоциями. На утверждение бюджетных показателей могут влиять субъективные факторы (личные связи, репутация отдела). И в конечном итоге, решение о выделении средств принимает высшее руководство. 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 xml:space="preserve">Решение о выделении средств принимается на основе сроков и объемов окупаемости проекта или программы. </w:t>
            </w:r>
          </w:p>
        </w:tc>
      </w:tr>
      <w:tr w:rsidR="00B76581" w:rsidRPr="00B76581" w:rsidTr="00851BF9">
        <w:trPr>
          <w:trHeight w:val="657"/>
        </w:trPr>
        <w:tc>
          <w:tcPr>
            <w:tcW w:w="2329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Достоверность информации</w:t>
            </w:r>
          </w:p>
        </w:tc>
        <w:tc>
          <w:tcPr>
            <w:tcW w:w="6040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</w:rPr>
              <w:t>Ряд бюджетных показателей может быть умышленно завышен.</w:t>
            </w:r>
          </w:p>
        </w:tc>
        <w:tc>
          <w:tcPr>
            <w:tcW w:w="5903" w:type="dxa"/>
            <w:shd w:val="clear" w:color="auto" w:fill="auto"/>
          </w:tcPr>
          <w:p w:rsidR="00B76581" w:rsidRPr="00B76581" w:rsidRDefault="00B76581" w:rsidP="00B76581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2977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ind w:right="-8"/>
              <w:contextualSpacing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B7658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Расходы легко контролируются,  решения могут быть оценены в соответствии с достигнутыми результатами.</w:t>
            </w:r>
          </w:p>
        </w:tc>
      </w:tr>
    </w:tbl>
    <w:p w:rsidR="00B76581" w:rsidRPr="00B76581" w:rsidRDefault="00B76581" w:rsidP="00B76581">
      <w:pPr>
        <w:tabs>
          <w:tab w:val="left" w:pos="1134"/>
          <w:tab w:val="left" w:pos="2977"/>
        </w:tabs>
        <w:spacing w:after="0" w:line="360" w:lineRule="auto"/>
        <w:ind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81" w:rsidRPr="00B76581" w:rsidRDefault="00B76581" w:rsidP="00B7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81" w:rsidRPr="00B76581" w:rsidRDefault="00B76581" w:rsidP="00B76581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765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1A54" w:rsidRDefault="00A81A54" w:rsidP="00A81A54">
      <w:pPr>
        <w:spacing w:after="0" w:line="36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7658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5</w:t>
      </w:r>
    </w:p>
    <w:p w:rsidR="00A81A54" w:rsidRDefault="00A81A54" w:rsidP="00A81A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дисконтированный срок окупаемости;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4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DPP</w:t>
      </w: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214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9130" cy="601345"/>
            <wp:effectExtent l="0" t="0" r="1270" b="0"/>
            <wp:docPr id="1" name="Рисунок 1" descr="дисконтированный период окупаемости, Discounted payback period, D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контированный период окупаемости, Discounted payback period, DP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число периодов;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CFt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приток денежных сре</w:t>
      </w:r>
      <w:proofErr w:type="gram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всл</w:t>
      </w:r>
      <w:proofErr w:type="gram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едствие использования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дисконтирования;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Io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величина затрат на внедрение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чистая приведенная стоимость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195" cy="47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39" cy="4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норма прибыльности.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6096" cy="51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48" cy="52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Подходя к оценке экономической эффективности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также использовать показатель рентабельности инвестиций: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ROI</w:t>
      </w: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эффект от внедрения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/затраты на внедрение.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использования данных показателей заключается в расчете ожидаемых денежных потоков и определения суммарных затрат не проект. Тем не менее, представляется возможным рассчитать годовой прирост прибыли: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Theme="maj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3154" cy="571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365" cy="58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40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, где 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А1, А2 -  годовые объемы реализуемой продукции до и после внедрения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/год; 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П1 - прибыль от реализации продукции до внедрения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/год; 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С2 - соответственно затраты на 1 руб. реализуемой продукции до и после внедрения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A54" w:rsidRPr="00C2140C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внедрение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рассчитать, сравнивая их значения на единицу выпущенной продукции до и после исследуемого события. Такой подход кажется вполне оправданным, поскольку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бюджетированием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охвачены все подразделения и процессы компании. Попытки же элиминации затрат на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ежедневной деятельности могут привести к искажению показателей.</w:t>
      </w:r>
    </w:p>
    <w:p w:rsidR="00A81A54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4" w:rsidRDefault="00A81A54" w:rsidP="00A81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0FD" w:rsidRDefault="001840FD"/>
    <w:p w:rsidR="000C2621" w:rsidRDefault="000C2621"/>
    <w:sectPr w:rsidR="000C2621" w:rsidSect="00A05F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C0"/>
    <w:rsid w:val="000C2621"/>
    <w:rsid w:val="000E4229"/>
    <w:rsid w:val="001840FD"/>
    <w:rsid w:val="00195912"/>
    <w:rsid w:val="00207BC0"/>
    <w:rsid w:val="00321782"/>
    <w:rsid w:val="003F5340"/>
    <w:rsid w:val="0089666C"/>
    <w:rsid w:val="00A05F21"/>
    <w:rsid w:val="00A81A54"/>
    <w:rsid w:val="00B76581"/>
    <w:rsid w:val="00CD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79518</dc:creator>
  <cp:lastModifiedBy>Ольга</cp:lastModifiedBy>
  <cp:revision>8</cp:revision>
  <dcterms:created xsi:type="dcterms:W3CDTF">2024-03-08T18:47:00Z</dcterms:created>
  <dcterms:modified xsi:type="dcterms:W3CDTF">2024-03-08T20:49:00Z</dcterms:modified>
</cp:coreProperties>
</file>