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4" w:rsidRPr="00105FEC" w:rsidRDefault="00C37964" w:rsidP="00105F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EC">
        <w:rPr>
          <w:rFonts w:ascii="Times New Roman" w:hAnsi="Times New Roman" w:cs="Times New Roman"/>
          <w:b/>
          <w:bCs/>
          <w:sz w:val="28"/>
          <w:szCs w:val="28"/>
        </w:rPr>
        <w:t xml:space="preserve">Опыт развития креативных индустрий стран </w:t>
      </w:r>
      <w:r w:rsidRPr="00105FEC">
        <w:rPr>
          <w:rFonts w:ascii="Times New Roman" w:hAnsi="Times New Roman" w:cs="Times New Roman"/>
          <w:b/>
          <w:sz w:val="28"/>
          <w:szCs w:val="28"/>
        </w:rPr>
        <w:t>БРИКС+</w:t>
      </w:r>
    </w:p>
    <w:p w:rsidR="00C37964" w:rsidRPr="00AB6790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64" w:rsidRPr="00A851F7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F7">
        <w:rPr>
          <w:rFonts w:ascii="Times New Roman" w:hAnsi="Times New Roman" w:cs="Times New Roman"/>
          <w:sz w:val="28"/>
          <w:szCs w:val="28"/>
        </w:rPr>
        <w:t xml:space="preserve">Почти все страны БРИКС+ </w:t>
      </w:r>
      <w:r w:rsidRPr="00A851F7">
        <w:rPr>
          <w:rFonts w:ascii="Times New Roman" w:hAnsi="Times New Roman" w:cs="Times New Roman"/>
          <w:bCs/>
          <w:sz w:val="28"/>
          <w:szCs w:val="28"/>
        </w:rPr>
        <w:t>являются лидерами инноваций в своих р</w:t>
      </w:r>
      <w:r w:rsidRPr="00A851F7">
        <w:rPr>
          <w:rFonts w:ascii="Times New Roman" w:hAnsi="Times New Roman" w:cs="Times New Roman"/>
          <w:bCs/>
          <w:sz w:val="28"/>
          <w:szCs w:val="28"/>
        </w:rPr>
        <w:t>е</w:t>
      </w:r>
      <w:r w:rsidRPr="00A851F7">
        <w:rPr>
          <w:rFonts w:ascii="Times New Roman" w:hAnsi="Times New Roman" w:cs="Times New Roman"/>
          <w:bCs/>
          <w:sz w:val="28"/>
          <w:szCs w:val="28"/>
        </w:rPr>
        <w:t>гионах по данным на</w:t>
      </w:r>
      <w:r w:rsidRPr="00A851F7">
        <w:rPr>
          <w:rFonts w:ascii="Times New Roman" w:hAnsi="Times New Roman" w:cs="Times New Roman"/>
          <w:sz w:val="28"/>
          <w:szCs w:val="28"/>
        </w:rPr>
        <w:t xml:space="preserve"> 2023 г., таблица 1</w:t>
      </w:r>
      <w:r w:rsidR="00105FEC">
        <w:rPr>
          <w:rFonts w:ascii="Times New Roman" w:hAnsi="Times New Roman" w:cs="Times New Roman"/>
          <w:sz w:val="28"/>
          <w:szCs w:val="28"/>
        </w:rPr>
        <w:t>Б</w:t>
      </w:r>
      <w:r w:rsidRPr="00A851F7">
        <w:rPr>
          <w:rFonts w:ascii="Times New Roman" w:hAnsi="Times New Roman" w:cs="Times New Roman"/>
          <w:sz w:val="28"/>
          <w:szCs w:val="28"/>
        </w:rPr>
        <w:t>.</w:t>
      </w:r>
      <w:r w:rsidRPr="00A851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7964" w:rsidRPr="00A851F7" w:rsidRDefault="00C37964" w:rsidP="00C379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1F7">
        <w:rPr>
          <w:rFonts w:ascii="Times New Roman" w:hAnsi="Times New Roman" w:cs="Times New Roman"/>
          <w:sz w:val="28"/>
          <w:szCs w:val="28"/>
        </w:rPr>
        <w:t>Таблица 1</w:t>
      </w:r>
      <w:r w:rsidR="00105FEC">
        <w:rPr>
          <w:rFonts w:ascii="Times New Roman" w:hAnsi="Times New Roman" w:cs="Times New Roman"/>
          <w:sz w:val="28"/>
          <w:szCs w:val="28"/>
        </w:rPr>
        <w:t>Б</w:t>
      </w:r>
      <w:r w:rsidRPr="00A851F7">
        <w:rPr>
          <w:rFonts w:ascii="Times New Roman" w:hAnsi="Times New Roman" w:cs="Times New Roman"/>
          <w:sz w:val="28"/>
          <w:szCs w:val="28"/>
        </w:rPr>
        <w:t>- Глобальный инновационный индекс (ГИИ), 2023 г.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2455"/>
        <w:gridCol w:w="2268"/>
        <w:gridCol w:w="2693"/>
      </w:tblGrid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мировом и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новационном ре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регионал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рейтинге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мировом кре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рейтинге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37964" w:rsidRPr="00A851F7" w:rsidTr="00105FEC">
        <w:trPr>
          <w:trHeight w:val="288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2455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37964" w:rsidRPr="00A851F7" w:rsidRDefault="00C37964" w:rsidP="00C6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C37964" w:rsidRPr="00A851F7" w:rsidRDefault="00105FEC" w:rsidP="0010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F7">
        <w:rPr>
          <w:rFonts w:ascii="Times New Roman" w:hAnsi="Times New Roman" w:cs="Times New Roman"/>
          <w:bCs/>
          <w:sz w:val="28"/>
          <w:szCs w:val="28"/>
        </w:rPr>
        <w:t xml:space="preserve">Страны БРИКС+ развивают креативные экономики для достижения различных целей, </w:t>
      </w:r>
      <w:r w:rsidRPr="00A851F7">
        <w:rPr>
          <w:rFonts w:ascii="Times New Roman" w:hAnsi="Times New Roman" w:cs="Times New Roman"/>
          <w:sz w:val="28"/>
          <w:szCs w:val="28"/>
        </w:rPr>
        <w:t>включая увеличение ВВП страны, популяризацию культ</w:t>
      </w:r>
      <w:r w:rsidRPr="00A851F7">
        <w:rPr>
          <w:rFonts w:ascii="Times New Roman" w:hAnsi="Times New Roman" w:cs="Times New Roman"/>
          <w:sz w:val="28"/>
          <w:szCs w:val="28"/>
        </w:rPr>
        <w:t>у</w:t>
      </w:r>
      <w:r w:rsidRPr="00A851F7">
        <w:rPr>
          <w:rFonts w:ascii="Times New Roman" w:hAnsi="Times New Roman" w:cs="Times New Roman"/>
          <w:sz w:val="28"/>
          <w:szCs w:val="28"/>
        </w:rPr>
        <w:t>ры, сохранение культурного кода и культурной идентичности, улучшение международного имиджа, а также решение социально-демографических пр</w:t>
      </w:r>
      <w:r w:rsidRPr="00A851F7">
        <w:rPr>
          <w:rFonts w:ascii="Times New Roman" w:hAnsi="Times New Roman" w:cs="Times New Roman"/>
          <w:sz w:val="28"/>
          <w:szCs w:val="28"/>
        </w:rPr>
        <w:t>о</w:t>
      </w:r>
      <w:r w:rsidRPr="00A851F7">
        <w:rPr>
          <w:rFonts w:ascii="Times New Roman" w:hAnsi="Times New Roman" w:cs="Times New Roman"/>
          <w:sz w:val="28"/>
          <w:szCs w:val="28"/>
        </w:rPr>
        <w:t>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64" w:rsidRPr="00A851F7">
        <w:rPr>
          <w:rFonts w:ascii="Times New Roman" w:hAnsi="Times New Roman" w:cs="Times New Roman"/>
          <w:sz w:val="28"/>
          <w:szCs w:val="28"/>
        </w:rPr>
        <w:t>Основные задачи развития креативной экономики стран БРИКС+ пре</w:t>
      </w:r>
      <w:r w:rsidR="00C37964" w:rsidRPr="00A851F7">
        <w:rPr>
          <w:rFonts w:ascii="Times New Roman" w:hAnsi="Times New Roman" w:cs="Times New Roman"/>
          <w:sz w:val="28"/>
          <w:szCs w:val="28"/>
        </w:rPr>
        <w:t>д</w:t>
      </w:r>
      <w:r w:rsidR="00C37964" w:rsidRPr="00A851F7">
        <w:rPr>
          <w:rFonts w:ascii="Times New Roman" w:hAnsi="Times New Roman" w:cs="Times New Roman"/>
          <w:sz w:val="28"/>
          <w:szCs w:val="28"/>
        </w:rPr>
        <w:t xml:space="preserve">ставлены в таблице </w:t>
      </w:r>
      <w:r>
        <w:rPr>
          <w:rFonts w:ascii="Times New Roman" w:hAnsi="Times New Roman" w:cs="Times New Roman"/>
          <w:sz w:val="28"/>
          <w:szCs w:val="28"/>
        </w:rPr>
        <w:t>2Б</w:t>
      </w:r>
      <w:r w:rsidR="00C37964" w:rsidRPr="00A851F7">
        <w:rPr>
          <w:rFonts w:ascii="Times New Roman" w:hAnsi="Times New Roman" w:cs="Times New Roman"/>
          <w:sz w:val="28"/>
          <w:szCs w:val="28"/>
        </w:rPr>
        <w:t>.</w:t>
      </w:r>
    </w:p>
    <w:p w:rsidR="00C37964" w:rsidRPr="00A851F7" w:rsidRDefault="00C37964" w:rsidP="00C379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1F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5FEC">
        <w:rPr>
          <w:rFonts w:ascii="Times New Roman" w:hAnsi="Times New Roman" w:cs="Times New Roman"/>
          <w:sz w:val="28"/>
          <w:szCs w:val="28"/>
        </w:rPr>
        <w:t>2Б</w:t>
      </w:r>
      <w:r w:rsidRPr="00A851F7">
        <w:rPr>
          <w:rFonts w:ascii="Times New Roman" w:hAnsi="Times New Roman" w:cs="Times New Roman"/>
          <w:sz w:val="28"/>
          <w:szCs w:val="28"/>
        </w:rPr>
        <w:t>-</w:t>
      </w:r>
      <w:r w:rsidRPr="00A85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1F7">
        <w:rPr>
          <w:rFonts w:ascii="Times New Roman" w:hAnsi="Times New Roman" w:cs="Times New Roman"/>
          <w:bCs/>
          <w:sz w:val="28"/>
          <w:szCs w:val="28"/>
        </w:rPr>
        <w:t>Основные задачи развития креативной экономики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302"/>
        <w:gridCol w:w="2140"/>
        <w:gridCol w:w="2041"/>
        <w:gridCol w:w="1947"/>
        <w:gridCol w:w="1777"/>
      </w:tblGrid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bCs/>
                <w:sz w:val="24"/>
                <w:szCs w:val="24"/>
              </w:rPr>
              <w:t>Вклад креативной экономики в ВВП,%</w:t>
            </w:r>
          </w:p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Популяризация и сохранение кул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Улучшение м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ждународного имиджа</w:t>
            </w:r>
          </w:p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цио-демографич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ских проблем</w:t>
            </w:r>
          </w:p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37964" w:rsidTr="00F730EC">
        <w:tc>
          <w:tcPr>
            <w:tcW w:w="2302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2140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41" w:type="dxa"/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37964" w:rsidTr="00F730EC">
        <w:trPr>
          <w:trHeight w:val="384"/>
        </w:trPr>
        <w:tc>
          <w:tcPr>
            <w:tcW w:w="2302" w:type="dxa"/>
            <w:tcBorders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rPr>
          <w:trHeight w:val="256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bCs/>
                <w:sz w:val="24"/>
                <w:szCs w:val="24"/>
              </w:rPr>
              <w:t>Саудовская Аравия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rPr>
          <w:trHeight w:val="204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Меньше 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64" w:rsidTr="00F730EC">
        <w:trPr>
          <w:trHeight w:val="396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Эфиопия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37964" w:rsidTr="00F730EC">
        <w:trPr>
          <w:trHeight w:val="276"/>
        </w:trPr>
        <w:tc>
          <w:tcPr>
            <w:tcW w:w="2302" w:type="dxa"/>
            <w:tcBorders>
              <w:top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:rsidR="00C37964" w:rsidRPr="00A851F7" w:rsidRDefault="00C37964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F730EC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Совместное развитие креативной экономики, сотрудничество в области культуры и творчества </w:t>
      </w:r>
      <w:r w:rsidRPr="00A851F7">
        <w:rPr>
          <w:rFonts w:ascii="Times New Roman" w:hAnsi="Times New Roman" w:cs="Times New Roman"/>
          <w:sz w:val="28"/>
          <w:szCs w:val="28"/>
        </w:rPr>
        <w:t>позволяет странам БРИКС+ расширять рынки и ст</w:t>
      </w:r>
      <w:r w:rsidRPr="00A851F7">
        <w:rPr>
          <w:rFonts w:ascii="Times New Roman" w:hAnsi="Times New Roman" w:cs="Times New Roman"/>
          <w:sz w:val="28"/>
          <w:szCs w:val="28"/>
        </w:rPr>
        <w:t>и</w:t>
      </w:r>
      <w:r w:rsidRPr="00A851F7">
        <w:rPr>
          <w:rFonts w:ascii="Times New Roman" w:hAnsi="Times New Roman" w:cs="Times New Roman"/>
          <w:sz w:val="28"/>
          <w:szCs w:val="28"/>
        </w:rPr>
        <w:t>мулировать экономический рост. Максимальный экспорт товаров креати</w:t>
      </w:r>
      <w:r w:rsidRPr="00A851F7">
        <w:rPr>
          <w:rFonts w:ascii="Times New Roman" w:hAnsi="Times New Roman" w:cs="Times New Roman"/>
          <w:sz w:val="28"/>
          <w:szCs w:val="28"/>
        </w:rPr>
        <w:t>в</w:t>
      </w:r>
      <w:r w:rsidRPr="00A851F7">
        <w:rPr>
          <w:rFonts w:ascii="Times New Roman" w:hAnsi="Times New Roman" w:cs="Times New Roman"/>
          <w:sz w:val="28"/>
          <w:szCs w:val="28"/>
        </w:rPr>
        <w:t>ных индустрий- наблюдается в Китае и за 2023г. его объем составил 220000,0 млн. долл. США, минимальный экспорт приходится на Эфиопию и составл</w:t>
      </w:r>
      <w:r w:rsidRPr="00A851F7">
        <w:rPr>
          <w:rFonts w:ascii="Times New Roman" w:hAnsi="Times New Roman" w:cs="Times New Roman"/>
          <w:sz w:val="28"/>
          <w:szCs w:val="28"/>
        </w:rPr>
        <w:t>я</w:t>
      </w:r>
      <w:r w:rsidRPr="00A851F7">
        <w:rPr>
          <w:rFonts w:ascii="Times New Roman" w:hAnsi="Times New Roman" w:cs="Times New Roman"/>
          <w:sz w:val="28"/>
          <w:szCs w:val="28"/>
        </w:rPr>
        <w:t xml:space="preserve">ет 3,0 млн. долл. США, рисунок </w:t>
      </w:r>
      <w:r w:rsidR="00304E37">
        <w:rPr>
          <w:rFonts w:ascii="Times New Roman" w:hAnsi="Times New Roman" w:cs="Times New Roman"/>
          <w:sz w:val="28"/>
          <w:szCs w:val="28"/>
        </w:rPr>
        <w:t>Б</w:t>
      </w:r>
      <w:r w:rsidRPr="00A851F7">
        <w:rPr>
          <w:rFonts w:ascii="Times New Roman" w:hAnsi="Times New Roman" w:cs="Times New Roman"/>
          <w:sz w:val="28"/>
          <w:szCs w:val="28"/>
        </w:rPr>
        <w:t>1</w:t>
      </w:r>
      <w:r w:rsidR="00304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0EC" w:rsidRDefault="00304E37" w:rsidP="00304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E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8714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4E37" w:rsidRPr="00077FF2" w:rsidRDefault="00304E37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sz w:val="28"/>
          <w:szCs w:val="28"/>
        </w:rPr>
        <w:t>Рисунок Б.1- Экспорт товаров креативных индустрий стран БРИКС+ в 2023г.</w:t>
      </w:r>
    </w:p>
    <w:p w:rsidR="00C37964" w:rsidRPr="007A6A28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28">
        <w:rPr>
          <w:rFonts w:ascii="Times New Roman" w:hAnsi="Times New Roman" w:cs="Times New Roman"/>
          <w:sz w:val="28"/>
          <w:szCs w:val="28"/>
        </w:rPr>
        <w:t>В Китае наблюдается и высокий уровень занятости  в креативных и</w:t>
      </w:r>
      <w:r w:rsidRPr="007A6A28">
        <w:rPr>
          <w:rFonts w:ascii="Times New Roman" w:hAnsi="Times New Roman" w:cs="Times New Roman"/>
          <w:sz w:val="28"/>
          <w:szCs w:val="28"/>
        </w:rPr>
        <w:t>н</w:t>
      </w:r>
      <w:r w:rsidRPr="007A6A28">
        <w:rPr>
          <w:rFonts w:ascii="Times New Roman" w:hAnsi="Times New Roman" w:cs="Times New Roman"/>
          <w:sz w:val="28"/>
          <w:szCs w:val="28"/>
        </w:rPr>
        <w:t>дустриях, в 2023г. он составил 9,46%, для сравнения в Индии- 8,3%, Саудо</w:t>
      </w:r>
      <w:r w:rsidRPr="007A6A28">
        <w:rPr>
          <w:rFonts w:ascii="Times New Roman" w:hAnsi="Times New Roman" w:cs="Times New Roman"/>
          <w:sz w:val="28"/>
          <w:szCs w:val="28"/>
        </w:rPr>
        <w:t>в</w:t>
      </w:r>
      <w:r w:rsidRPr="007A6A28">
        <w:rPr>
          <w:rFonts w:ascii="Times New Roman" w:hAnsi="Times New Roman" w:cs="Times New Roman"/>
          <w:sz w:val="28"/>
          <w:szCs w:val="28"/>
        </w:rPr>
        <w:t>ская Аравия- 0,5%, Бразилия- 5,6%, Россия- 6,6%, ЮАР-6,0%. Рассмотрим кратко особенности развития креативных индустрий в странах БРИКС+.</w:t>
      </w:r>
    </w:p>
    <w:p w:rsidR="00C37964" w:rsidRPr="007A6A28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28">
        <w:rPr>
          <w:rFonts w:ascii="Times New Roman" w:hAnsi="Times New Roman" w:cs="Times New Roman"/>
          <w:bCs/>
          <w:sz w:val="28"/>
          <w:szCs w:val="28"/>
        </w:rPr>
        <w:t>Китай является одним из мировых лидеров по экспорту товаров кре</w:t>
      </w:r>
      <w:r w:rsidRPr="007A6A28">
        <w:rPr>
          <w:rFonts w:ascii="Times New Roman" w:hAnsi="Times New Roman" w:cs="Times New Roman"/>
          <w:bCs/>
          <w:sz w:val="28"/>
          <w:szCs w:val="28"/>
        </w:rPr>
        <w:t>а</w:t>
      </w:r>
      <w:r w:rsidRPr="007A6A28">
        <w:rPr>
          <w:rFonts w:ascii="Times New Roman" w:hAnsi="Times New Roman" w:cs="Times New Roman"/>
          <w:bCs/>
          <w:sz w:val="28"/>
          <w:szCs w:val="28"/>
        </w:rPr>
        <w:t>тивных индустрий. Внимание Китая направлено на продвижение национал</w:t>
      </w:r>
      <w:r w:rsidRPr="007A6A28">
        <w:rPr>
          <w:rFonts w:ascii="Times New Roman" w:hAnsi="Times New Roman" w:cs="Times New Roman"/>
          <w:bCs/>
          <w:sz w:val="28"/>
          <w:szCs w:val="28"/>
        </w:rPr>
        <w:t>ь</w:t>
      </w:r>
      <w:r w:rsidRPr="007A6A28">
        <w:rPr>
          <w:rFonts w:ascii="Times New Roman" w:hAnsi="Times New Roman" w:cs="Times New Roman"/>
          <w:bCs/>
          <w:sz w:val="28"/>
          <w:szCs w:val="28"/>
        </w:rPr>
        <w:t xml:space="preserve">ной культуры и идей социализма.  </w:t>
      </w:r>
      <w:r w:rsidRPr="007A6A28">
        <w:rPr>
          <w:rFonts w:ascii="Times New Roman" w:hAnsi="Times New Roman" w:cs="Times New Roman"/>
          <w:sz w:val="28"/>
          <w:szCs w:val="28"/>
        </w:rPr>
        <w:t>Развитие государственного регулирования в сфере креативных индустрий в Китае началось еще в 2001 г. Особое вним</w:t>
      </w:r>
      <w:r w:rsidRPr="007A6A28">
        <w:rPr>
          <w:rFonts w:ascii="Times New Roman" w:hAnsi="Times New Roman" w:cs="Times New Roman"/>
          <w:sz w:val="28"/>
          <w:szCs w:val="28"/>
        </w:rPr>
        <w:t>а</w:t>
      </w:r>
      <w:r w:rsidRPr="007A6A28">
        <w:rPr>
          <w:rFonts w:ascii="Times New Roman" w:hAnsi="Times New Roman" w:cs="Times New Roman"/>
          <w:sz w:val="28"/>
          <w:szCs w:val="28"/>
        </w:rPr>
        <w:t xml:space="preserve">ние уделяется </w:t>
      </w:r>
      <w:r w:rsidRPr="007A6A28">
        <w:rPr>
          <w:rFonts w:ascii="Times New Roman" w:hAnsi="Times New Roman" w:cs="Times New Roman"/>
          <w:bCs/>
          <w:sz w:val="28"/>
          <w:szCs w:val="28"/>
        </w:rPr>
        <w:t xml:space="preserve">культуре как элементу «мягкой силы» </w:t>
      </w:r>
      <w:r w:rsidRPr="007A6A28">
        <w:rPr>
          <w:rFonts w:ascii="Times New Roman" w:hAnsi="Times New Roman" w:cs="Times New Roman"/>
          <w:sz w:val="28"/>
          <w:szCs w:val="28"/>
        </w:rPr>
        <w:t>для достижения наци</w:t>
      </w:r>
      <w:r w:rsidRPr="007A6A28">
        <w:rPr>
          <w:rFonts w:ascii="Times New Roman" w:hAnsi="Times New Roman" w:cs="Times New Roman"/>
          <w:sz w:val="28"/>
          <w:szCs w:val="28"/>
        </w:rPr>
        <w:t>о</w:t>
      </w:r>
      <w:r w:rsidRPr="007A6A28">
        <w:rPr>
          <w:rFonts w:ascii="Times New Roman" w:hAnsi="Times New Roman" w:cs="Times New Roman"/>
          <w:sz w:val="28"/>
          <w:szCs w:val="28"/>
        </w:rPr>
        <w:t>нальных целей с акцентом на развитие креативного сектора.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6A28">
        <w:rPr>
          <w:rFonts w:ascii="Times New Roman" w:hAnsi="Times New Roman" w:cs="Times New Roman"/>
          <w:sz w:val="28"/>
          <w:szCs w:val="28"/>
        </w:rPr>
        <w:t>Документ, з</w:t>
      </w:r>
      <w:r w:rsidRPr="007A6A28">
        <w:rPr>
          <w:rFonts w:ascii="Times New Roman" w:hAnsi="Times New Roman" w:cs="Times New Roman"/>
          <w:sz w:val="28"/>
          <w:szCs w:val="28"/>
        </w:rPr>
        <w:t>а</w:t>
      </w:r>
      <w:r w:rsidRPr="007A6A28">
        <w:rPr>
          <w:rFonts w:ascii="Times New Roman" w:hAnsi="Times New Roman" w:cs="Times New Roman"/>
          <w:sz w:val="28"/>
          <w:szCs w:val="28"/>
        </w:rPr>
        <w:t xml:space="preserve">крепляющий стратегию:  </w:t>
      </w:r>
      <w:r w:rsidRPr="007A6A28">
        <w:rPr>
          <w:rFonts w:ascii="Times New Roman" w:hAnsi="Times New Roman" w:cs="Times New Roman"/>
          <w:bCs/>
          <w:sz w:val="28"/>
          <w:szCs w:val="28"/>
        </w:rPr>
        <w:t>План развития культуры на «14-ю пятиле</w:t>
      </w:r>
      <w:r w:rsidRPr="007A6A28">
        <w:rPr>
          <w:rFonts w:ascii="Times New Roman" w:hAnsi="Times New Roman" w:cs="Times New Roman"/>
          <w:bCs/>
          <w:sz w:val="28"/>
          <w:szCs w:val="28"/>
        </w:rPr>
        <w:t>т</w:t>
      </w:r>
      <w:r w:rsidRPr="007A6A28">
        <w:rPr>
          <w:rFonts w:ascii="Times New Roman" w:hAnsi="Times New Roman" w:cs="Times New Roman"/>
          <w:bCs/>
          <w:sz w:val="28"/>
          <w:szCs w:val="28"/>
        </w:rPr>
        <w:t>ку»</w:t>
      </w:r>
      <w:r w:rsidRPr="007A6A28">
        <w:rPr>
          <w:rFonts w:ascii="Times New Roman" w:hAnsi="Times New Roman" w:cs="Times New Roman"/>
          <w:sz w:val="28"/>
          <w:szCs w:val="28"/>
        </w:rPr>
        <w:t>(2021г.). Определение креативной экономики согласно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A2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статистического управления КНР: </w:t>
      </w:r>
      <w:r w:rsidRPr="007A6A28">
        <w:rPr>
          <w:rFonts w:ascii="Times New Roman" w:hAnsi="Times New Roman" w:cs="Times New Roman"/>
          <w:bCs/>
          <w:sz w:val="28"/>
          <w:szCs w:val="28"/>
        </w:rPr>
        <w:t>«Совокупность видов производственной деятельности, обеспечивающих население культурными продуктами</w:t>
      </w:r>
      <w:r w:rsidR="00304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28">
        <w:rPr>
          <w:rFonts w:ascii="Times New Roman" w:hAnsi="Times New Roman" w:cs="Times New Roman"/>
          <w:bCs/>
          <w:sz w:val="28"/>
          <w:szCs w:val="28"/>
        </w:rPr>
        <w:t xml:space="preserve">и продуктами, связанными с культурой». </w:t>
      </w:r>
      <w:r w:rsidRPr="007A6A28">
        <w:rPr>
          <w:rFonts w:ascii="Times New Roman" w:hAnsi="Times New Roman" w:cs="Times New Roman"/>
          <w:sz w:val="28"/>
          <w:szCs w:val="28"/>
        </w:rPr>
        <w:t>Направления развития креативной экономики в рамках государственной политики: укрепление идеологического и теоретического наследия;  усиленное строительство иде</w:t>
      </w:r>
      <w:r w:rsidRPr="007A6A28">
        <w:rPr>
          <w:rFonts w:ascii="Times New Roman" w:hAnsi="Times New Roman" w:cs="Times New Roman"/>
          <w:sz w:val="28"/>
          <w:szCs w:val="28"/>
        </w:rPr>
        <w:t>о</w:t>
      </w:r>
      <w:r w:rsidRPr="007A6A28">
        <w:rPr>
          <w:rFonts w:ascii="Times New Roman" w:hAnsi="Times New Roman" w:cs="Times New Roman"/>
          <w:sz w:val="28"/>
          <w:szCs w:val="28"/>
        </w:rPr>
        <w:t>логии и морали для новой эпохии создание массовой духовной цивилизации; консолидация и укрепление основного общественного мнения; процветание творчества и производства в культуре и литературе; наследование и продв</w:t>
      </w:r>
      <w:r w:rsidRPr="007A6A28">
        <w:rPr>
          <w:rFonts w:ascii="Times New Roman" w:hAnsi="Times New Roman" w:cs="Times New Roman"/>
          <w:sz w:val="28"/>
          <w:szCs w:val="28"/>
        </w:rPr>
        <w:t>и</w:t>
      </w:r>
      <w:r w:rsidRPr="007A6A28">
        <w:rPr>
          <w:rFonts w:ascii="Times New Roman" w:hAnsi="Times New Roman" w:cs="Times New Roman"/>
          <w:sz w:val="28"/>
          <w:szCs w:val="28"/>
        </w:rPr>
        <w:t>жение превосходной китайской традиционной культуры и революционной культуры;  улучшение охвата и эффективности государственных культурных услуг; содействие высококачественному развитию культурной индустрии; содействие комплексному развитию культуры и туризма; содействие скоо</w:t>
      </w:r>
      <w:r w:rsidRPr="007A6A28">
        <w:rPr>
          <w:rFonts w:ascii="Times New Roman" w:hAnsi="Times New Roman" w:cs="Times New Roman"/>
          <w:sz w:val="28"/>
          <w:szCs w:val="28"/>
        </w:rPr>
        <w:t>р</w:t>
      </w:r>
      <w:r w:rsidRPr="007A6A28">
        <w:rPr>
          <w:rFonts w:ascii="Times New Roman" w:hAnsi="Times New Roman" w:cs="Times New Roman"/>
          <w:sz w:val="28"/>
          <w:szCs w:val="28"/>
        </w:rPr>
        <w:t>динированному развитию городской и сельской региональной культуры; расширение международного влияния китайской культуры; углубление р</w:t>
      </w:r>
      <w:r w:rsidRPr="007A6A28">
        <w:rPr>
          <w:rFonts w:ascii="Times New Roman" w:hAnsi="Times New Roman" w:cs="Times New Roman"/>
          <w:sz w:val="28"/>
          <w:szCs w:val="28"/>
        </w:rPr>
        <w:t>е</w:t>
      </w:r>
      <w:r w:rsidRPr="007A6A28">
        <w:rPr>
          <w:rFonts w:ascii="Times New Roman" w:hAnsi="Times New Roman" w:cs="Times New Roman"/>
          <w:sz w:val="28"/>
          <w:szCs w:val="28"/>
        </w:rPr>
        <w:t>формы культурной системы; формирование сильного корпуса талантов; ус</w:t>
      </w:r>
      <w:r w:rsidRPr="007A6A28">
        <w:rPr>
          <w:rFonts w:ascii="Times New Roman" w:hAnsi="Times New Roman" w:cs="Times New Roman"/>
          <w:sz w:val="28"/>
          <w:szCs w:val="28"/>
        </w:rPr>
        <w:t>и</w:t>
      </w:r>
      <w:r w:rsidRPr="007A6A28">
        <w:rPr>
          <w:rFonts w:ascii="Times New Roman" w:hAnsi="Times New Roman" w:cs="Times New Roman"/>
          <w:sz w:val="28"/>
          <w:szCs w:val="28"/>
        </w:rPr>
        <w:t>ление гарантий выполнения плана.</w:t>
      </w:r>
    </w:p>
    <w:p w:rsidR="00C37964" w:rsidRPr="007A6A28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A28">
        <w:rPr>
          <w:rFonts w:ascii="Times New Roman" w:hAnsi="Times New Roman" w:cs="Times New Roman"/>
          <w:sz w:val="28"/>
          <w:szCs w:val="28"/>
        </w:rPr>
        <w:t>Сейчас Китай планомерно укрепляет позиции высоких технологиях и</w:t>
      </w:r>
      <w:r w:rsidR="00304E37">
        <w:rPr>
          <w:rFonts w:ascii="Times New Roman" w:hAnsi="Times New Roman" w:cs="Times New Roman"/>
          <w:sz w:val="28"/>
          <w:szCs w:val="28"/>
        </w:rPr>
        <w:t xml:space="preserve"> </w:t>
      </w:r>
      <w:r w:rsidRPr="007A6A28">
        <w:rPr>
          <w:rFonts w:ascii="Times New Roman" w:hAnsi="Times New Roman" w:cs="Times New Roman"/>
          <w:sz w:val="28"/>
          <w:szCs w:val="28"/>
        </w:rPr>
        <w:t xml:space="preserve">креативных индустриях на мировой арене. Правительство Китая </w:t>
      </w:r>
      <w:r w:rsidRPr="007A6A28">
        <w:rPr>
          <w:rFonts w:ascii="Times New Roman" w:hAnsi="Times New Roman" w:cs="Times New Roman"/>
          <w:bCs/>
          <w:sz w:val="28"/>
          <w:szCs w:val="28"/>
        </w:rPr>
        <w:t>определяет индустрию культуры и творчества как состоящую из следующих «основных категорий»: д</w:t>
      </w:r>
      <w:r w:rsidRPr="007A6A28">
        <w:rPr>
          <w:rFonts w:ascii="Times New Roman" w:hAnsi="Times New Roman" w:cs="Times New Roman"/>
          <w:sz w:val="28"/>
          <w:szCs w:val="28"/>
        </w:rPr>
        <w:t>изайн, создание и производство контента, пресса и информац</w:t>
      </w:r>
      <w:r w:rsidRPr="007A6A28">
        <w:rPr>
          <w:rFonts w:ascii="Times New Roman" w:hAnsi="Times New Roman" w:cs="Times New Roman"/>
          <w:sz w:val="28"/>
          <w:szCs w:val="28"/>
        </w:rPr>
        <w:t>и</w:t>
      </w:r>
      <w:r w:rsidRPr="007A6A28">
        <w:rPr>
          <w:rFonts w:ascii="Times New Roman" w:hAnsi="Times New Roman" w:cs="Times New Roman"/>
          <w:sz w:val="28"/>
          <w:szCs w:val="28"/>
        </w:rPr>
        <w:t>онные услуги; каналы культурной коммуникации/трансляции; инвестиции и операции в сфере культуры; услуги в сфере культурного досуга и развлеч</w:t>
      </w:r>
      <w:r w:rsidRPr="007A6A28">
        <w:rPr>
          <w:rFonts w:ascii="Times New Roman" w:hAnsi="Times New Roman" w:cs="Times New Roman"/>
          <w:sz w:val="28"/>
          <w:szCs w:val="28"/>
        </w:rPr>
        <w:t>е</w:t>
      </w:r>
      <w:r w:rsidRPr="007A6A28">
        <w:rPr>
          <w:rFonts w:ascii="Times New Roman" w:hAnsi="Times New Roman" w:cs="Times New Roman"/>
          <w:sz w:val="28"/>
          <w:szCs w:val="28"/>
        </w:rPr>
        <w:t>ний; вспомогательное производство и посреднические услуги в сфере кул</w:t>
      </w:r>
      <w:r w:rsidRPr="007A6A28">
        <w:rPr>
          <w:rFonts w:ascii="Times New Roman" w:hAnsi="Times New Roman" w:cs="Times New Roman"/>
          <w:sz w:val="28"/>
          <w:szCs w:val="28"/>
        </w:rPr>
        <w:t>ь</w:t>
      </w:r>
      <w:r w:rsidRPr="007A6A28">
        <w:rPr>
          <w:rFonts w:ascii="Times New Roman" w:hAnsi="Times New Roman" w:cs="Times New Roman"/>
          <w:sz w:val="28"/>
          <w:szCs w:val="28"/>
        </w:rPr>
        <w:t>туры; производство оборудования для культуры; производство терминалов потребления культуры.</w:t>
      </w:r>
    </w:p>
    <w:p w:rsidR="00C37964" w:rsidRPr="007A6A28" w:rsidRDefault="00C37964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A28">
        <w:rPr>
          <w:rFonts w:ascii="Times New Roman" w:hAnsi="Times New Roman" w:cs="Times New Roman"/>
          <w:bCs/>
          <w:sz w:val="28"/>
          <w:szCs w:val="28"/>
        </w:rPr>
        <w:t>Развитие креативного сектора в Китае имеет региональную специал</w:t>
      </w:r>
      <w:r w:rsidRPr="007A6A28">
        <w:rPr>
          <w:rFonts w:ascii="Times New Roman" w:hAnsi="Times New Roman" w:cs="Times New Roman"/>
          <w:bCs/>
          <w:sz w:val="28"/>
          <w:szCs w:val="28"/>
        </w:rPr>
        <w:t>и</w:t>
      </w:r>
      <w:r w:rsidRPr="007A6A28">
        <w:rPr>
          <w:rFonts w:ascii="Times New Roman" w:hAnsi="Times New Roman" w:cs="Times New Roman"/>
          <w:bCs/>
          <w:sz w:val="28"/>
          <w:szCs w:val="28"/>
        </w:rPr>
        <w:t xml:space="preserve">зацию, </w:t>
      </w:r>
      <w:r w:rsidRPr="007A6A28">
        <w:rPr>
          <w:rFonts w:ascii="Times New Roman" w:hAnsi="Times New Roman" w:cs="Times New Roman"/>
          <w:sz w:val="28"/>
          <w:szCs w:val="28"/>
        </w:rPr>
        <w:t>разделение закреплено стратегическими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A28">
        <w:rPr>
          <w:rFonts w:ascii="Times New Roman" w:hAnsi="Times New Roman" w:cs="Times New Roman"/>
          <w:sz w:val="28"/>
          <w:szCs w:val="28"/>
        </w:rPr>
        <w:t>Основная сп</w:t>
      </w:r>
      <w:r w:rsidRPr="007A6A28">
        <w:rPr>
          <w:rFonts w:ascii="Times New Roman" w:hAnsi="Times New Roman" w:cs="Times New Roman"/>
          <w:sz w:val="28"/>
          <w:szCs w:val="28"/>
        </w:rPr>
        <w:t>е</w:t>
      </w:r>
      <w:r w:rsidRPr="007A6A28">
        <w:rPr>
          <w:rFonts w:ascii="Times New Roman" w:hAnsi="Times New Roman" w:cs="Times New Roman"/>
          <w:sz w:val="28"/>
          <w:szCs w:val="28"/>
        </w:rPr>
        <w:t>циализация городов Китая –визуальные индустрии.  Но есть примеры другой специализации: Пекин –литература, Гонконг –мода, Шанхай –компьютерные игры.</w:t>
      </w:r>
    </w:p>
    <w:p w:rsidR="00304E37" w:rsidRDefault="00C37964" w:rsidP="00077F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A28">
        <w:rPr>
          <w:rFonts w:ascii="Times New Roman" w:hAnsi="Times New Roman" w:cs="Times New Roman"/>
          <w:bCs/>
          <w:sz w:val="28"/>
          <w:szCs w:val="28"/>
        </w:rPr>
        <w:lastRenderedPageBreak/>
        <w:t>В рамках плана развития культуры творческим индустриям оказывае</w:t>
      </w:r>
      <w:r w:rsidRPr="007A6A28">
        <w:rPr>
          <w:rFonts w:ascii="Times New Roman" w:hAnsi="Times New Roman" w:cs="Times New Roman"/>
          <w:bCs/>
          <w:sz w:val="28"/>
          <w:szCs w:val="28"/>
        </w:rPr>
        <w:t>т</w:t>
      </w:r>
      <w:r w:rsidRPr="007A6A28">
        <w:rPr>
          <w:rFonts w:ascii="Times New Roman" w:hAnsi="Times New Roman" w:cs="Times New Roman"/>
          <w:bCs/>
          <w:sz w:val="28"/>
          <w:szCs w:val="28"/>
        </w:rPr>
        <w:t xml:space="preserve">ся широкий спектр поддержки. В Китае преобладает модель планирования «сверху вниз». </w:t>
      </w:r>
      <w:r w:rsidRPr="007A6A28">
        <w:rPr>
          <w:rFonts w:ascii="Times New Roman" w:hAnsi="Times New Roman" w:cs="Times New Roman"/>
          <w:sz w:val="28"/>
          <w:szCs w:val="28"/>
        </w:rPr>
        <w:t>Правительство оказывает финансовую поддержку проектам в области искусства и культуры, используя налоговые льготы для благотвор</w:t>
      </w:r>
      <w:r w:rsidRPr="007A6A28">
        <w:rPr>
          <w:rFonts w:ascii="Times New Roman" w:hAnsi="Times New Roman" w:cs="Times New Roman"/>
          <w:sz w:val="28"/>
          <w:szCs w:val="28"/>
        </w:rPr>
        <w:t>и</w:t>
      </w:r>
      <w:r w:rsidRPr="007A6A28">
        <w:rPr>
          <w:rFonts w:ascii="Times New Roman" w:hAnsi="Times New Roman" w:cs="Times New Roman"/>
          <w:sz w:val="28"/>
          <w:szCs w:val="28"/>
        </w:rPr>
        <w:t xml:space="preserve">тельных взносов, а также гранты и финансирование конкретных проектов. </w:t>
      </w:r>
      <w:r w:rsidRPr="007A6A28">
        <w:rPr>
          <w:rFonts w:ascii="Times New Roman" w:hAnsi="Times New Roman" w:cs="Times New Roman"/>
          <w:bCs/>
          <w:sz w:val="28"/>
          <w:szCs w:val="28"/>
        </w:rPr>
        <w:t>Примеры ин</w:t>
      </w:r>
      <w:r w:rsidR="00077FF2">
        <w:rPr>
          <w:rFonts w:ascii="Times New Roman" w:hAnsi="Times New Roman" w:cs="Times New Roman"/>
          <w:bCs/>
          <w:sz w:val="28"/>
          <w:szCs w:val="28"/>
        </w:rPr>
        <w:t>ициатив представлены в таблице 3Б.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4E37" w:rsidRPr="00077FF2" w:rsidRDefault="00077FF2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t>Таблица  3Б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- Примеры инициатив в Китае</w:t>
      </w:r>
    </w:p>
    <w:tbl>
      <w:tblPr>
        <w:tblStyle w:val="a3"/>
        <w:tblW w:w="0" w:type="auto"/>
        <w:tblLook w:val="04A0"/>
      </w:tblPr>
      <w:tblGrid>
        <w:gridCol w:w="4771"/>
        <w:gridCol w:w="4800"/>
      </w:tblGrid>
      <w:tr w:rsidR="00304E37" w:rsidRPr="00C23D69" w:rsidTr="00077FF2">
        <w:tc>
          <w:tcPr>
            <w:tcW w:w="4771" w:type="dxa"/>
          </w:tcPr>
          <w:p w:rsidR="00304E37" w:rsidRPr="006D6206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Pr="006D62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фондов</w:t>
            </w:r>
            <w:r w:rsidRPr="006D62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304E37" w:rsidRPr="006D6206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CreativeSmart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velopment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6D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креативных талантов.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Создание учебных центров для сотрудников культурных и творческих индустрий</w:t>
            </w:r>
          </w:p>
        </w:tc>
      </w:tr>
      <w:tr w:rsidR="00304E37" w:rsidRPr="00C23D69" w:rsidTr="00077FF2">
        <w:tc>
          <w:tcPr>
            <w:tcW w:w="477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развития промышленных кластеров.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Создание кластеров осуществляется под руководством местных органов власти, г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сударственных структур, при участии кул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турных и творческих предприятий и/или девелоперов</w:t>
            </w:r>
          </w:p>
        </w:tc>
        <w:tc>
          <w:tcPr>
            <w:tcW w:w="4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защиты авто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прав.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Усиление надзора, пресечение нарушений и пиратства, а также проведение специальной кампании «Цзяньвань» (Jianwang)</w:t>
            </w:r>
          </w:p>
        </w:tc>
      </w:tr>
      <w:tr w:rsidR="00304E37" w:rsidRPr="00C23D69" w:rsidTr="00077FF2">
        <w:tc>
          <w:tcPr>
            <w:tcW w:w="477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Широкие культурно-массовые меропри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тия.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Использование направляющей роли масс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вых литературныхи художественных пр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мий, таких как «Звездная премия»; пров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дение фестивалей, Недели моды в Гонконге и др.</w:t>
            </w:r>
          </w:p>
        </w:tc>
        <w:tc>
          <w:tcPr>
            <w:tcW w:w="4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возрождениюсельской культ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ры.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Осуществление плана действий «Интернет + китайская цивилизация» по продвижению цифровых культурных ресурсов в сельские районы; создание платформы культурного обмена и торговли</w:t>
            </w:r>
          </w:p>
        </w:tc>
      </w:tr>
    </w:tbl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sz w:val="28"/>
          <w:szCs w:val="28"/>
        </w:rPr>
        <w:lastRenderedPageBreak/>
        <w:t>Таблица 4Б</w:t>
      </w:r>
      <w:r w:rsidR="00304E37" w:rsidRPr="00077FF2">
        <w:rPr>
          <w:rFonts w:ascii="Times New Roman" w:hAnsi="Times New Roman" w:cs="Times New Roman"/>
          <w:sz w:val="28"/>
          <w:szCs w:val="28"/>
        </w:rPr>
        <w:t xml:space="preserve">- Стратегические 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инициативы ОАЭ в области креативной экон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о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мики</w:t>
      </w:r>
    </w:p>
    <w:tbl>
      <w:tblPr>
        <w:tblStyle w:val="a3"/>
        <w:tblW w:w="0" w:type="auto"/>
        <w:tblLook w:val="04A0"/>
      </w:tblPr>
      <w:tblGrid>
        <w:gridCol w:w="1339"/>
        <w:gridCol w:w="2917"/>
        <w:gridCol w:w="5315"/>
      </w:tblGrid>
      <w:tr w:rsidR="00304E37" w:rsidRPr="00C23D69" w:rsidTr="00C6265C">
        <w:tc>
          <w:tcPr>
            <w:tcW w:w="1339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</w:p>
        </w:tc>
        <w:tc>
          <w:tcPr>
            <w:tcW w:w="531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04E37" w:rsidRPr="00C23D69" w:rsidTr="00C6265C">
        <w:trPr>
          <w:trHeight w:val="852"/>
        </w:trPr>
        <w:tc>
          <w:tcPr>
            <w:tcW w:w="1339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Таланты и творческие 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ботники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образования для вдохн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вения и расширения возможностей будущих творческих поколений.</w:t>
            </w:r>
          </w:p>
        </w:tc>
      </w:tr>
      <w:tr w:rsidR="00304E37" w:rsidRPr="00C23D69" w:rsidTr="00C6265C">
        <w:trPr>
          <w:trHeight w:val="489"/>
        </w:trPr>
        <w:tc>
          <w:tcPr>
            <w:tcW w:w="1339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творческих талантов и их подготовка к выходу на рынок труда</w:t>
            </w:r>
          </w:p>
        </w:tc>
      </w:tr>
      <w:tr w:rsidR="00304E37" w:rsidRPr="00C23D69" w:rsidTr="00C6265C">
        <w:trPr>
          <w:trHeight w:val="653"/>
        </w:trPr>
        <w:tc>
          <w:tcPr>
            <w:tcW w:w="1339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Профессионалы и деловая среда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Обеспечение проактивной и инклюзивной зак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нодательной системы, поддерживающей индус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рию культуры и творчества</w:t>
            </w:r>
          </w:p>
        </w:tc>
      </w:tr>
      <w:tr w:rsidR="00304E37" w:rsidRPr="00C23D69" w:rsidTr="00C6265C">
        <w:trPr>
          <w:trHeight w:val="660"/>
        </w:trPr>
        <w:tc>
          <w:tcPr>
            <w:tcW w:w="1339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Инициирование исследований и разработок в 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ласти индустрии культуры и творчества</w:t>
            </w:r>
          </w:p>
        </w:tc>
      </w:tr>
      <w:tr w:rsidR="00304E37" w:rsidRPr="00C23D69" w:rsidTr="00C6265C">
        <w:trPr>
          <w:trHeight w:val="377"/>
        </w:trPr>
        <w:tc>
          <w:tcPr>
            <w:tcW w:w="1339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культурных и творческих кластеров</w:t>
            </w:r>
          </w:p>
        </w:tc>
      </w:tr>
      <w:tr w:rsidR="00304E37" w:rsidRPr="00C23D69" w:rsidTr="00077FF2">
        <w:trPr>
          <w:trHeight w:val="476"/>
        </w:trPr>
        <w:tc>
          <w:tcPr>
            <w:tcW w:w="1339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Merge w:val="restart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благоприятной бизнес-среды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финансирования сектора</w:t>
            </w:r>
          </w:p>
        </w:tc>
      </w:tr>
      <w:tr w:rsidR="00304E37" w:rsidRPr="00C23D69" w:rsidTr="00C6265C">
        <w:trPr>
          <w:trHeight w:val="588"/>
        </w:trPr>
        <w:tc>
          <w:tcPr>
            <w:tcW w:w="1339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Предоставление стимулов для поддержки сект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304E37" w:rsidRPr="00C23D69" w:rsidTr="00C6265C">
        <w:trPr>
          <w:trHeight w:val="417"/>
        </w:trPr>
        <w:tc>
          <w:tcPr>
            <w:tcW w:w="1339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Содействие экспорту продукции культурных и творческих индустрий</w:t>
            </w:r>
          </w:p>
        </w:tc>
      </w:tr>
    </w:tbl>
    <w:p w:rsidR="00304E37" w:rsidRPr="00077FF2" w:rsidRDefault="00077FF2" w:rsidP="00077FF2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t>Таблица 5Б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- Поддержка креативной экономики  Индии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5352"/>
      </w:tblGrid>
      <w:tr w:rsidR="00304E37" w:rsidRPr="00C23D69" w:rsidTr="00077FF2">
        <w:tc>
          <w:tcPr>
            <w:tcW w:w="959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5352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Описание</w:t>
            </w:r>
          </w:p>
        </w:tc>
      </w:tr>
      <w:tr w:rsidR="00304E37" w:rsidRPr="00C23D69" w:rsidTr="00077FF2">
        <w:tc>
          <w:tcPr>
            <w:tcW w:w="959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фонд культ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ры (NCF)</w:t>
            </w:r>
          </w:p>
        </w:tc>
        <w:tc>
          <w:tcPr>
            <w:tcW w:w="5352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Фонд, который поддерживает культурную и творческую деятельность в Индии. Он предо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тавляет гранты художникам, культурным учре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дениям и организациям для поддержки проектов в таких областях, как исполнительское искусство, изобразительное искусство и литература.</w:t>
            </w:r>
          </w:p>
        </w:tc>
      </w:tr>
      <w:tr w:rsidR="00304E37" w:rsidRPr="00C23D69" w:rsidTr="00077FF2">
        <w:tc>
          <w:tcPr>
            <w:tcW w:w="959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 Раштрия Лалит Кала (RLKA) и Академия Сангит Натак (SNA)</w:t>
            </w:r>
          </w:p>
        </w:tc>
        <w:tc>
          <w:tcPr>
            <w:tcW w:w="5352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Национальные академии искусств, продвига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щие индийское искусствои культуру. Они орг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низуют выставки, мастер-классы и семинары, а также предоставляют гранты художникам, кул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турным учреждениям и организациям для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держки проектов в различных областях.</w:t>
            </w:r>
          </w:p>
        </w:tc>
      </w:tr>
      <w:tr w:rsidR="00304E37" w:rsidRPr="00C23D69" w:rsidTr="00077FF2">
        <w:tc>
          <w:tcPr>
            <w:tcW w:w="959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продвижения инди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ской музыки и танца (SPIC MACAY)</w:t>
            </w:r>
          </w:p>
        </w:tc>
        <w:tc>
          <w:tcPr>
            <w:tcW w:w="5352" w:type="dxa"/>
          </w:tcPr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Добровольное движение, которое организует программы классической музыки и танца, наро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ного искусства, ремесел, йоги, медитации и кино в школах, колледжах и учреждениях по всей стране.</w:t>
            </w:r>
          </w:p>
        </w:tc>
      </w:tr>
    </w:tbl>
    <w:p w:rsidR="00C37964" w:rsidRDefault="00C37964" w:rsidP="002243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434B" w:rsidRDefault="0022434B" w:rsidP="002243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2243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224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sz w:val="28"/>
          <w:szCs w:val="28"/>
        </w:rPr>
        <w:lastRenderedPageBreak/>
        <w:t>Таблица 6Б</w:t>
      </w:r>
      <w:r w:rsidR="00304E37" w:rsidRPr="00077FF2">
        <w:rPr>
          <w:rFonts w:ascii="Times New Roman" w:hAnsi="Times New Roman" w:cs="Times New Roman"/>
          <w:sz w:val="28"/>
          <w:szCs w:val="28"/>
        </w:rPr>
        <w:t>- П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римеры поддержки креативной экономики</w:t>
      </w:r>
      <w:r w:rsidR="00304E37" w:rsidRPr="00077FF2">
        <w:rPr>
          <w:rFonts w:ascii="Times New Roman" w:hAnsi="Times New Roman" w:cs="Times New Roman"/>
          <w:sz w:val="28"/>
          <w:szCs w:val="28"/>
        </w:rPr>
        <w:t xml:space="preserve"> в Саудовской Ар</w:t>
      </w:r>
      <w:r w:rsidR="00304E37" w:rsidRPr="00077FF2">
        <w:rPr>
          <w:rFonts w:ascii="Times New Roman" w:hAnsi="Times New Roman" w:cs="Times New Roman"/>
          <w:sz w:val="28"/>
          <w:szCs w:val="28"/>
        </w:rPr>
        <w:t>а</w:t>
      </w:r>
      <w:r w:rsidR="00304E37" w:rsidRPr="00077FF2">
        <w:rPr>
          <w:rFonts w:ascii="Times New Roman" w:hAnsi="Times New Roman" w:cs="Times New Roman"/>
          <w:sz w:val="28"/>
          <w:szCs w:val="28"/>
        </w:rPr>
        <w:t>вии</w:t>
      </w:r>
    </w:p>
    <w:tbl>
      <w:tblPr>
        <w:tblStyle w:val="a3"/>
        <w:tblW w:w="0" w:type="auto"/>
        <w:tblLook w:val="04A0"/>
      </w:tblPr>
      <w:tblGrid>
        <w:gridCol w:w="1206"/>
        <w:gridCol w:w="3591"/>
        <w:gridCol w:w="4774"/>
      </w:tblGrid>
      <w:tr w:rsidR="00304E37" w:rsidRPr="00C23D69" w:rsidTr="00077FF2">
        <w:tc>
          <w:tcPr>
            <w:tcW w:w="120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77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04E37" w:rsidRPr="00C23D69" w:rsidTr="00077FF2">
        <w:tc>
          <w:tcPr>
            <w:tcW w:w="120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Партнерство правительства и Saudi Aramco</w:t>
            </w:r>
          </w:p>
        </w:tc>
        <w:tc>
          <w:tcPr>
            <w:tcW w:w="477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Нефтяная компания Aramco построила King Abdulaziz Center for World Culture (Ithra) –это крупнейшая в стране инициатива в 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ласти развития культуры.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 центре есть музей, театр, кинотеатр, би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лиотека, проводятся культурныеи образов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тельные мероприятия.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На фоне других крупных культурных це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тров по всему миру Ithra выделяет отдел творчества и инноваций –Idea Lab, в кот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ром реализуется несколько наиболее зн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чимых программ центра.</w:t>
            </w:r>
          </w:p>
        </w:tc>
      </w:tr>
      <w:tr w:rsidR="00304E37" w:rsidRPr="00C23D69" w:rsidTr="00077FF2">
        <w:tc>
          <w:tcPr>
            <w:tcW w:w="120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партнерства в рамках Alsharqiya Gets Creative</w:t>
            </w:r>
          </w:p>
        </w:tc>
        <w:tc>
          <w:tcPr>
            <w:tcW w:w="477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Alsharqiya Gets Creative –инициатива Ithra по развитию культуры Южной провинции Саудовской Аравии, в рамках которой, 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пример, компания Majd Investment провела первую Международную конференцию по устойчивой архитектуре и городскому 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зайну (ICSAUD), компания Awan Development организовала Awan Nights –зону с творческим рынком и мероприяти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ми, компания Rawabi Holding организовала «буткемп» для студентов по творческим профессиям.</w:t>
            </w:r>
          </w:p>
        </w:tc>
      </w:tr>
      <w:tr w:rsidR="00304E37" w:rsidRPr="00C23D69" w:rsidTr="00077FF2">
        <w:tc>
          <w:tcPr>
            <w:tcW w:w="120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Инвестиции: продвижение кул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туры</w:t>
            </w:r>
          </w:p>
        </w:tc>
        <w:tc>
          <w:tcPr>
            <w:tcW w:w="477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Правительство ежегодно организует Нед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лю арабской моды, а также фестиваль 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зайна в Эр-Рияде. Был открыт национал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ный павильон Саудовской Аравии на Кан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ском кинофестивале.</w:t>
            </w:r>
          </w:p>
        </w:tc>
      </w:tr>
      <w:tr w:rsidR="00304E37" w:rsidRPr="00C23D69" w:rsidTr="00077FF2">
        <w:tc>
          <w:tcPr>
            <w:tcW w:w="120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Инвестиции: образование</w:t>
            </w:r>
          </w:p>
        </w:tc>
        <w:tc>
          <w:tcPr>
            <w:tcW w:w="477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Правительство открывает университетские образовательные программы в области 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кусства и кино, оказывает грантовую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держку. Например, открыта национальная киноакадемия (Saudi Film Academy).</w:t>
            </w:r>
          </w:p>
        </w:tc>
      </w:tr>
    </w:tbl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lastRenderedPageBreak/>
        <w:t>Таблица 7Б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 xml:space="preserve">-Принципы </w:t>
      </w:r>
      <w:r w:rsidR="00304E37" w:rsidRPr="00077FF2">
        <w:rPr>
          <w:rFonts w:ascii="Times New Roman" w:hAnsi="Times New Roman" w:cs="Times New Roman"/>
          <w:sz w:val="28"/>
          <w:szCs w:val="28"/>
        </w:rPr>
        <w:t>государственной политики России в сфере развития креативных  индустрий и креативного предпринимательства</w:t>
      </w:r>
    </w:p>
    <w:tbl>
      <w:tblPr>
        <w:tblStyle w:val="a3"/>
        <w:tblW w:w="0" w:type="auto"/>
        <w:tblLook w:val="04A0"/>
      </w:tblPr>
      <w:tblGrid>
        <w:gridCol w:w="675"/>
        <w:gridCol w:w="3711"/>
        <w:gridCol w:w="5185"/>
      </w:tblGrid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518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баланса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как инициативного креативного предпринимательства, таки пре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принимательства, соответствующего приорит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там перспективной экономической специализ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экосистемного подхода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и доступности всех м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ханизмов поддержки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инвариативной по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держки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механизмов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держки для всех типов организаций</w:t>
            </w:r>
          </w:p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Эти принципы лежат в основе формирования мер поддержки креативной экономики и обе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печивают достижение заданных стратегических целей.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стимулирования роста инвестиций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Обеспечение изменений экономических показ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телей, в первую очередь объемов инвестиций в основной капитал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преемственности инн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ваций</w:t>
            </w: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Опора на этнокультурные, исторические ос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бенностии традиции, включая гарантии прав коренных малочисленных народов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координации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Синхронизация деятельности по поддержке и «бесшовная» стыковка механизмов поддержки</w:t>
            </w:r>
          </w:p>
        </w:tc>
      </w:tr>
      <w:tr w:rsidR="00304E37" w:rsidRPr="00C23D69" w:rsidTr="007D2244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локализации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Сохранение регионального размещения кре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тивных (творческих) индустрий и креативного (творческого) предпринимательства при глоб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лизациии расширении рынка</w:t>
            </w:r>
          </w:p>
        </w:tc>
      </w:tr>
    </w:tbl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E37" w:rsidRPr="00077FF2" w:rsidRDefault="00077FF2" w:rsidP="00077F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lastRenderedPageBreak/>
        <w:t>Таблица 8Б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 xml:space="preserve">- Инициативы </w:t>
      </w:r>
      <w:r w:rsidR="00304E37" w:rsidRPr="00077FF2">
        <w:rPr>
          <w:rFonts w:ascii="Times New Roman" w:hAnsi="Times New Roman" w:cs="Times New Roman"/>
          <w:sz w:val="28"/>
          <w:szCs w:val="28"/>
        </w:rPr>
        <w:t>по поддержке креативной экономики в России</w:t>
      </w:r>
    </w:p>
    <w:tbl>
      <w:tblPr>
        <w:tblStyle w:val="a3"/>
        <w:tblW w:w="0" w:type="auto"/>
        <w:tblLook w:val="04A0"/>
      </w:tblPr>
      <w:tblGrid>
        <w:gridCol w:w="817"/>
        <w:gridCol w:w="3842"/>
        <w:gridCol w:w="4912"/>
      </w:tblGrid>
      <w:tr w:rsidR="00304E37" w:rsidRPr="00C23D69" w:rsidTr="00077FF2">
        <w:tc>
          <w:tcPr>
            <w:tcW w:w="8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</w:p>
        </w:tc>
        <w:tc>
          <w:tcPr>
            <w:tcW w:w="491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04E37" w:rsidRPr="00C23D69" w:rsidTr="00077FF2">
        <w:tc>
          <w:tcPr>
            <w:tcW w:w="8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егиональный стандарт развития креативных индустрий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Агентство стратегических инициатив (АСИ) в 2023 г. представило Региональный ста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дарт развития креативных индустрий, кот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рый представляет собой комплекс лучших практик, собранный в 12 шагов для создания и предоставления региональных мер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держки креативных индустрий</w:t>
            </w:r>
          </w:p>
        </w:tc>
      </w:tr>
      <w:tr w:rsidR="00304E37" w:rsidRPr="00C23D69" w:rsidTr="00077FF2">
        <w:tc>
          <w:tcPr>
            <w:tcW w:w="8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продюсирования креати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ных индустрий регионов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Фонд «Росконгресс» в 2023 г. представил 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вую модель продюсирования креативных индустрий регионов, которая заключается в их выводе на федеральный уровень, созд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нии площадок для творчества, формировании  программ повышения туристической и эк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номической привлекательности.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37" w:rsidRPr="00C23D69" w:rsidTr="00077FF2">
        <w:tc>
          <w:tcPr>
            <w:tcW w:w="8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расчета доли кре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тивной экономики в ВВП России 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 2024 г. Росстат утвердил свою методол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гию расчета доли креативной экономики в ВВП России, чтобы измерять и анализир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вать результаты, оптимизировать планы по развитию креативной экономики страны.</w:t>
            </w:r>
          </w:p>
        </w:tc>
      </w:tr>
      <w:tr w:rsidR="00304E37" w:rsidRPr="00C23D69" w:rsidTr="00077FF2">
        <w:tc>
          <w:tcPr>
            <w:tcW w:w="81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Акселераторы, бизнес-миссии и международное сотрудничество</w:t>
            </w:r>
          </w:p>
        </w:tc>
        <w:tc>
          <w:tcPr>
            <w:tcW w:w="4912" w:type="dxa"/>
          </w:tcPr>
          <w:p w:rsidR="00304E37" w:rsidRPr="00C23D69" w:rsidRDefault="00304E37" w:rsidP="0007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Центр развития креативной экономики АСИ выступил с инициативой проведения межд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народных акселераторов, бизнес-миссий и спецпроектов с другими странами, развития креативных продуктов –игр, кино, анимации –вместе с зарубежными компаниями. Эти шаги включены в планы на 2024 г.</w:t>
            </w:r>
          </w:p>
        </w:tc>
      </w:tr>
    </w:tbl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2434B" w:rsidRDefault="0022434B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4E37" w:rsidRPr="00077FF2" w:rsidRDefault="00304E37" w:rsidP="00077F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077FF2" w:rsidRPr="00077FF2">
        <w:rPr>
          <w:rFonts w:ascii="Times New Roman" w:hAnsi="Times New Roman" w:cs="Times New Roman"/>
          <w:bCs/>
          <w:sz w:val="28"/>
          <w:szCs w:val="28"/>
        </w:rPr>
        <w:t>9Б</w:t>
      </w:r>
      <w:r w:rsidRPr="00077FF2">
        <w:rPr>
          <w:rFonts w:ascii="Times New Roman" w:hAnsi="Times New Roman" w:cs="Times New Roman"/>
          <w:bCs/>
          <w:sz w:val="28"/>
          <w:szCs w:val="28"/>
        </w:rPr>
        <w:t>-Инициативы по поддержке креативных индустрий в ЮАР</w:t>
      </w:r>
    </w:p>
    <w:tbl>
      <w:tblPr>
        <w:tblStyle w:val="a3"/>
        <w:tblW w:w="0" w:type="auto"/>
        <w:tblLook w:val="04A0"/>
      </w:tblPr>
      <w:tblGrid>
        <w:gridCol w:w="800"/>
        <w:gridCol w:w="3047"/>
        <w:gridCol w:w="5724"/>
      </w:tblGrid>
      <w:tr w:rsidR="00304E37" w:rsidRPr="00C23D69" w:rsidTr="00077FF2">
        <w:tc>
          <w:tcPr>
            <w:tcW w:w="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572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304E37" w:rsidRPr="00C23D69" w:rsidTr="00077FF2">
        <w:tc>
          <w:tcPr>
            <w:tcW w:w="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финансиров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Создание отдельных потоков финансирования муз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кального и издательского подсекторов, увеличение финансирования ремесел и включение в программу поддержки изобразительного искусства и дизайна. Внедрение инновационных инструментов финанс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рования, оценки интеллектуальной собственности и др.</w:t>
            </w:r>
          </w:p>
        </w:tc>
      </w:tr>
      <w:tr w:rsidR="00304E37" w:rsidRPr="00C23D69" w:rsidTr="00077FF2">
        <w:tc>
          <w:tcPr>
            <w:tcW w:w="800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 со ст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роны предложения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Включают в себя развитие талантов, повышение конкурентоспособности и инвестиционной привл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кательности. Например, Южноафриканский инкуб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тор креативных индустрий предлагает наставничес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во тем, кто занимается дизайном, кино, музыкой, 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кусством, ремеслами, модой и др.</w:t>
            </w:r>
          </w:p>
        </w:tc>
      </w:tr>
      <w:tr w:rsidR="00304E37" w:rsidRPr="00C23D69" w:rsidTr="00077FF2">
        <w:trPr>
          <w:trHeight w:val="1536"/>
        </w:trPr>
        <w:tc>
          <w:tcPr>
            <w:tcW w:w="800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Меры стимулирования 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ночной эффективности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 ним относятся: формирование системы умного управления, создание ИТ-инфраструктуры, защита авторских прав. Правительство ЮАР создает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разделения управления каждым из подсекторов кре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тивной экономикидля обеспечения доступности по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держки и развития.</w:t>
            </w:r>
          </w:p>
        </w:tc>
      </w:tr>
      <w:tr w:rsidR="00304E37" w:rsidRPr="00C23D69" w:rsidTr="00077FF2">
        <w:trPr>
          <w:trHeight w:val="312"/>
        </w:trPr>
        <w:tc>
          <w:tcPr>
            <w:tcW w:w="800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 со ст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роны спроса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Включает развитие аудитории, маркетинг и продвижение, стимулирование экспорта, поддержку локального контента. Например, ЮАР принимает участие в международной программе Creative Africa 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вместно с еще 11 странами.</w:t>
            </w:r>
          </w:p>
        </w:tc>
      </w:tr>
    </w:tbl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t>Таблица 10Б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-Инициативы для поддержки</w:t>
      </w:r>
      <w:r w:rsidR="00304E37" w:rsidRPr="00077FF2">
        <w:rPr>
          <w:rFonts w:ascii="Times New Roman" w:hAnsi="Times New Roman" w:cs="Times New Roman"/>
          <w:sz w:val="28"/>
          <w:szCs w:val="28"/>
        </w:rPr>
        <w:t xml:space="preserve"> развития креативных индустрий в Иране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304E37" w:rsidRPr="00C23D69" w:rsidTr="00077FF2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620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304E37" w:rsidRPr="00C23D69" w:rsidTr="00077FF2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фонд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Innovation and prosper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ty fund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Данный фонд, созданный в 2012 г., предоставляет фина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совую и нефинансовую поддержку иранским стартапам в сфере цифровых технологий и программного обеспеч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304E37" w:rsidRPr="00C23D69" w:rsidTr="00077FF2">
        <w:tc>
          <w:tcPr>
            <w:tcW w:w="675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6городов Ирана прин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мают участие в пр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грамме «Сеть творч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ских городов»,</w:t>
            </w:r>
          </w:p>
        </w:tc>
        <w:tc>
          <w:tcPr>
            <w:tcW w:w="6202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среди них Тегеран –креативный центр страны, Исфахан –центр фольклорного творчества, Санандадж –центр м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зыкальной индустрии и др.</w:t>
            </w:r>
          </w:p>
        </w:tc>
      </w:tr>
      <w:tr w:rsidR="00304E37" w:rsidRPr="00C23D69" w:rsidTr="00077FF2">
        <w:trPr>
          <w:trHeight w:val="1524"/>
        </w:trPr>
        <w:tc>
          <w:tcPr>
            <w:tcW w:w="675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стр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тегия развития Digital Iran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Стратегия Digital Iran («Цифровой Иран»), реализация которой нацелена на 2020–2025 гг., направлена на акти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ное внедрение локальных цифровых технологий в ра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личные сферы, включая культурную, экономическую и социальную.</w:t>
            </w:r>
          </w:p>
        </w:tc>
      </w:tr>
      <w:tr w:rsidR="00304E37" w:rsidRPr="00C23D69" w:rsidTr="00077FF2">
        <w:trPr>
          <w:trHeight w:val="396"/>
        </w:trPr>
        <w:tc>
          <w:tcPr>
            <w:tcW w:w="675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Фонд культурных и креативных индустрий (CCIF)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Деятельность фонда направлена на поддержку культурного и креативного секторов Ирана посредством различных финансовых программ, программ продвижения, у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репления креативной инфраструктуры и т.д.</w:t>
            </w:r>
          </w:p>
        </w:tc>
      </w:tr>
    </w:tbl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lastRenderedPageBreak/>
        <w:t>Таблица 11Б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- Платформы по поддержке креативных индустрий Египта</w:t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5777"/>
      </w:tblGrid>
      <w:tr w:rsidR="00304E37" w:rsidRPr="00C23D69" w:rsidTr="00C6265C">
        <w:tc>
          <w:tcPr>
            <w:tcW w:w="110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Платформы</w:t>
            </w:r>
          </w:p>
        </w:tc>
        <w:tc>
          <w:tcPr>
            <w:tcW w:w="577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04E37" w:rsidRPr="00C23D69" w:rsidTr="00C6265C">
        <w:tc>
          <w:tcPr>
            <w:tcW w:w="110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Cairo Urban Initiatives Platform (CUIP) 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Каталог и общий календарь событий для искусства, культуры, архитектуры, пропаганды, городского ра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вития и междисциплинарных инициатив и организ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ций, расположенных в Каире.</w:t>
            </w:r>
          </w:p>
        </w:tc>
      </w:tr>
      <w:tr w:rsidR="00304E37" w:rsidRPr="00C23D69" w:rsidTr="00C6265C">
        <w:tc>
          <w:tcPr>
            <w:tcW w:w="110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Support to Cultural D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23D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versity and Creativity in Egypt 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Поддержка культурного разнообразия, содействие культурным дискуссиям, развитие индустрии культ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ры и развитие существующих культурных центров.</w:t>
            </w:r>
          </w:p>
        </w:tc>
      </w:tr>
      <w:tr w:rsidR="00304E37" w:rsidRPr="00C23D69" w:rsidTr="00C6265C">
        <w:tc>
          <w:tcPr>
            <w:tcW w:w="1101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Egypt Innovate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Объединение и обучение новаторов и предприним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телей креативной индустрии в области технологий путем предоставления экспертных рекомендаций и набора инструментов для инноваций.</w:t>
            </w:r>
          </w:p>
        </w:tc>
      </w:tr>
    </w:tbl>
    <w:p w:rsidR="00304E37" w:rsidRPr="00077FF2" w:rsidRDefault="00077FF2" w:rsidP="00077F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FF2">
        <w:rPr>
          <w:rFonts w:ascii="Times New Roman" w:hAnsi="Times New Roman" w:cs="Times New Roman"/>
          <w:bCs/>
          <w:sz w:val="28"/>
          <w:szCs w:val="28"/>
        </w:rPr>
        <w:t>Таблица 12Б</w:t>
      </w:r>
      <w:r w:rsidR="00304E37" w:rsidRPr="00077FF2">
        <w:rPr>
          <w:rFonts w:ascii="Times New Roman" w:hAnsi="Times New Roman" w:cs="Times New Roman"/>
          <w:bCs/>
          <w:sz w:val="28"/>
          <w:szCs w:val="28"/>
        </w:rPr>
        <w:t>- Ключевые государственные программы развития креативных индустрий в Эфиопии</w:t>
      </w:r>
    </w:p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9"/>
        <w:gridCol w:w="2089"/>
        <w:gridCol w:w="6143"/>
      </w:tblGrid>
      <w:tr w:rsidR="00304E37" w:rsidRPr="00C23D69" w:rsidTr="00C6265C">
        <w:tc>
          <w:tcPr>
            <w:tcW w:w="138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304E37" w:rsidRPr="00C23D69" w:rsidTr="00C6265C">
        <w:tc>
          <w:tcPr>
            <w:tcW w:w="138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Ethiopian Creative Hub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 2021 г. креативный центр был создан в целях содейс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вия инновациями экономическому развитию путем п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ощрения творчества, цифровизациии обмена знаниями.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Создание центра финансировалось Италией и осущест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лялось UNIDO в партнерстве с Министерством промы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ленности и Эфиопским центром развития предприним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 xml:space="preserve">тельства. 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Creative Hub поддерживает творческих новаторов, д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зайнеров и МСП в различных областях, углубляя пон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мание глобальных концепций дизайна и промышленн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сти, предоставляя современные рабочие инструменты и ресурсы, а также укрепляя связь между молодыми нов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торами, промышленными и государственными структ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</w:tc>
      </w:tr>
      <w:tr w:rsidR="00304E37" w:rsidRPr="00C23D69" w:rsidTr="00C6265C">
        <w:tc>
          <w:tcPr>
            <w:tcW w:w="138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bCs/>
                <w:sz w:val="24"/>
                <w:szCs w:val="24"/>
              </w:rPr>
              <w:t>EDGET program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304E37" w:rsidRPr="00C23D69" w:rsidRDefault="00304E37" w:rsidP="00C6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Программа включает различные меры по поддержке стартапов и МСП, предоставляя стратегические консул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тации и помощь в поиске финансирования.</w:t>
            </w:r>
          </w:p>
          <w:p w:rsidR="00304E37" w:rsidRPr="00C23D69" w:rsidRDefault="00304E37" w:rsidP="00C6265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3D69">
              <w:rPr>
                <w:rFonts w:ascii="Times New Roman" w:hAnsi="Times New Roman" w:cs="Times New Roman"/>
                <w:sz w:val="24"/>
                <w:szCs w:val="24"/>
              </w:rPr>
              <w:t>Программа создана в рамках инициативы Министерства труда Эфиопии.</w:t>
            </w:r>
          </w:p>
          <w:p w:rsidR="00304E37" w:rsidRPr="00C23D69" w:rsidRDefault="00304E37" w:rsidP="00C626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37" w:rsidRPr="00C23D69" w:rsidRDefault="00304E37" w:rsidP="00304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37" w:rsidRDefault="00304E37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7" w:rsidRPr="007A6A28" w:rsidRDefault="00304E37" w:rsidP="00C379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E37" w:rsidRPr="007A6A28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5B" w:rsidRDefault="00E5085B" w:rsidP="00105FEC">
      <w:pPr>
        <w:spacing w:after="0" w:line="240" w:lineRule="auto"/>
      </w:pPr>
      <w:r>
        <w:separator/>
      </w:r>
    </w:p>
  </w:endnote>
  <w:endnote w:type="continuationSeparator" w:id="1">
    <w:p w:rsidR="00E5085B" w:rsidRDefault="00E5085B" w:rsidP="0010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5B" w:rsidRDefault="00E5085B" w:rsidP="00105FEC">
      <w:pPr>
        <w:spacing w:after="0" w:line="240" w:lineRule="auto"/>
      </w:pPr>
      <w:r>
        <w:separator/>
      </w:r>
    </w:p>
  </w:footnote>
  <w:footnote w:type="continuationSeparator" w:id="1">
    <w:p w:rsidR="00E5085B" w:rsidRDefault="00E5085B" w:rsidP="0010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5C" w:rsidRPr="00105FEC" w:rsidRDefault="00C6265C" w:rsidP="00105FE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105FEC">
      <w:rPr>
        <w:rFonts w:ascii="Times New Roman" w:hAnsi="Times New Roman" w:cs="Times New Roman"/>
        <w:sz w:val="24"/>
        <w:szCs w:val="24"/>
      </w:rPr>
      <w:t>ПРИЛОЖЕНИЕ Б</w:t>
    </w:r>
  </w:p>
  <w:p w:rsidR="00C6265C" w:rsidRDefault="00C626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964"/>
    <w:rsid w:val="00077FF2"/>
    <w:rsid w:val="00105FEC"/>
    <w:rsid w:val="0022434B"/>
    <w:rsid w:val="00304E37"/>
    <w:rsid w:val="00396632"/>
    <w:rsid w:val="00497FE4"/>
    <w:rsid w:val="006D6206"/>
    <w:rsid w:val="00772E5C"/>
    <w:rsid w:val="007D2244"/>
    <w:rsid w:val="00AA2E28"/>
    <w:rsid w:val="00C37964"/>
    <w:rsid w:val="00C6265C"/>
    <w:rsid w:val="00E5085B"/>
    <w:rsid w:val="00F7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FEC"/>
  </w:style>
  <w:style w:type="paragraph" w:styleId="a6">
    <w:name w:val="footer"/>
    <w:basedOn w:val="a"/>
    <w:link w:val="a7"/>
    <w:uiPriority w:val="99"/>
    <w:semiHidden/>
    <w:unhideWhenUsed/>
    <w:rsid w:val="0010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5FEC"/>
  </w:style>
  <w:style w:type="paragraph" w:styleId="a8">
    <w:name w:val="Balloon Text"/>
    <w:basedOn w:val="a"/>
    <w:link w:val="a9"/>
    <w:uiPriority w:val="99"/>
    <w:semiHidden/>
    <w:unhideWhenUsed/>
    <w:rsid w:val="0010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FE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304E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4E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04E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50;&#1085;&#1080;&#1075;&#1072;145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Лист1!$H$89</c:f>
              <c:strCache>
                <c:ptCount val="1"/>
                <c:pt idx="0">
                  <c:v>Экспорт товаров креативных индустрий, млн. долл. США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Лист1!$G$90:$G$99</c:f>
              <c:strCache>
                <c:ptCount val="10"/>
                <c:pt idx="0">
                  <c:v>Китай</c:v>
                </c:pt>
                <c:pt idx="1">
                  <c:v>ОАЭ</c:v>
                </c:pt>
                <c:pt idx="2">
                  <c:v>Индия</c:v>
                </c:pt>
                <c:pt idx="3">
                  <c:v>Саудовская Аравия</c:v>
                </c:pt>
                <c:pt idx="4">
                  <c:v>Бразилия</c:v>
                </c:pt>
                <c:pt idx="5">
                  <c:v>Россия</c:v>
                </c:pt>
                <c:pt idx="6">
                  <c:v>ЮАР</c:v>
                </c:pt>
                <c:pt idx="7">
                  <c:v>Иран</c:v>
                </c:pt>
                <c:pt idx="8">
                  <c:v>Египет</c:v>
                </c:pt>
                <c:pt idx="9">
                  <c:v>Эфиопия</c:v>
                </c:pt>
              </c:strCache>
            </c:strRef>
          </c:cat>
          <c:val>
            <c:numRef>
              <c:f>Лист1!$H$90:$H$99</c:f>
              <c:numCache>
                <c:formatCode>#,##0</c:formatCode>
                <c:ptCount val="10"/>
                <c:pt idx="0">
                  <c:v>220000</c:v>
                </c:pt>
                <c:pt idx="1">
                  <c:v>9129</c:v>
                </c:pt>
                <c:pt idx="2">
                  <c:v>13785</c:v>
                </c:pt>
                <c:pt idx="3">
                  <c:v>1104</c:v>
                </c:pt>
                <c:pt idx="4" formatCode="General">
                  <c:v>562</c:v>
                </c:pt>
                <c:pt idx="5">
                  <c:v>1580</c:v>
                </c:pt>
                <c:pt idx="6" formatCode="General">
                  <c:v>316</c:v>
                </c:pt>
                <c:pt idx="7" formatCode="General">
                  <c:v>49</c:v>
                </c:pt>
                <c:pt idx="8" formatCode="General">
                  <c:v>570</c:v>
                </c:pt>
                <c:pt idx="9" formatCode="General">
                  <c:v>3</c:v>
                </c:pt>
              </c:numCache>
            </c:numRef>
          </c:val>
        </c:ser>
        <c:dLbls>
          <c:showVal val="1"/>
        </c:dLbls>
        <c:shape val="box"/>
        <c:axId val="121252864"/>
        <c:axId val="121280000"/>
        <c:axId val="0"/>
      </c:bar3DChart>
      <c:catAx>
        <c:axId val="121252864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280000"/>
        <c:crosses val="autoZero"/>
        <c:auto val="1"/>
        <c:lblAlgn val="ctr"/>
        <c:lblOffset val="100"/>
      </c:catAx>
      <c:valAx>
        <c:axId val="121280000"/>
        <c:scaling>
          <c:orientation val="minMax"/>
        </c:scaling>
        <c:axPos val="b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252864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2025-02-10T04:33:00Z</dcterms:created>
  <dcterms:modified xsi:type="dcterms:W3CDTF">2025-02-10T04:36:00Z</dcterms:modified>
</cp:coreProperties>
</file>