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C1" w:rsidRPr="003A4B42" w:rsidRDefault="007407C1" w:rsidP="007407C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4B42">
        <w:rPr>
          <w:rFonts w:ascii="Times New Roman" w:hAnsi="Times New Roman" w:cs="Times New Roman"/>
          <w:sz w:val="28"/>
          <w:szCs w:val="28"/>
        </w:rPr>
        <w:t>Таблица 3.7</w:t>
      </w:r>
    </w:p>
    <w:p w:rsidR="007407C1" w:rsidRPr="003A4B42" w:rsidRDefault="007407C1" w:rsidP="007407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4B42">
        <w:rPr>
          <w:rFonts w:ascii="Times New Roman" w:hAnsi="Times New Roman" w:cs="Times New Roman"/>
          <w:sz w:val="28"/>
          <w:szCs w:val="28"/>
        </w:rPr>
        <w:t>Основные пути улучшения развития корпоративного пенсионного обеспечения в России</w:t>
      </w:r>
    </w:p>
    <w:tbl>
      <w:tblPr>
        <w:tblStyle w:val="a4"/>
        <w:tblW w:w="0" w:type="auto"/>
        <w:tblLook w:val="04A0"/>
      </w:tblPr>
      <w:tblGrid>
        <w:gridCol w:w="814"/>
        <w:gridCol w:w="2284"/>
        <w:gridCol w:w="6473"/>
      </w:tblGrid>
      <w:tr w:rsidR="007407C1" w:rsidRPr="003A4B42" w:rsidTr="00ED2F07">
        <w:tc>
          <w:tcPr>
            <w:tcW w:w="817" w:type="dxa"/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84" w:type="dxa"/>
          </w:tcPr>
          <w:p w:rsidR="007407C1" w:rsidRPr="003A4B42" w:rsidRDefault="007407C1" w:rsidP="00ED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753" w:type="dxa"/>
          </w:tcPr>
          <w:p w:rsidR="007407C1" w:rsidRPr="003A4B42" w:rsidRDefault="007407C1" w:rsidP="00ED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7407C1" w:rsidRPr="003A4B42" w:rsidTr="00ED2F07">
        <w:tc>
          <w:tcPr>
            <w:tcW w:w="817" w:type="dxa"/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>Улучшение налогового режима</w:t>
            </w:r>
          </w:p>
        </w:tc>
        <w:tc>
          <w:tcPr>
            <w:tcW w:w="6753" w:type="dxa"/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Создание благоприятного налогового режима</w:t>
            </w: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 xml:space="preserve"> для участников системы негосударственного пенсионного обеспечения. Это стимулирует работодателей и работников формировать дополнительный пенсионный капитал.  </w:t>
            </w:r>
          </w:p>
        </w:tc>
      </w:tr>
      <w:tr w:rsidR="007407C1" w:rsidRPr="003A4B42" w:rsidTr="00ED2F07">
        <w:tc>
          <w:tcPr>
            <w:tcW w:w="817" w:type="dxa"/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законодательной базы</w:t>
            </w:r>
          </w:p>
        </w:tc>
        <w:tc>
          <w:tcPr>
            <w:tcW w:w="6753" w:type="dxa"/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Создание законодательной базы</w:t>
            </w: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 xml:space="preserve">, которая позволит работодателям работать в правовом поле при развитии корпоративных пенсионных программ. Например, можно принять закон о негосударственном пенсионном обеспечении или внести изменения в Трудовой кодекс РФ об отраслевых (межотраслевых) соглашениях между представителями работодателей и работников в части установления пенсионных гарантий и компенсаций работникам.  </w:t>
            </w:r>
          </w:p>
        </w:tc>
      </w:tr>
      <w:tr w:rsidR="007407C1" w:rsidRPr="003A4B42" w:rsidTr="00ED2F07">
        <w:tc>
          <w:tcPr>
            <w:tcW w:w="817" w:type="dxa"/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Введение налоговых преимуществ для работодателей</w:t>
            </w:r>
          </w:p>
        </w:tc>
        <w:tc>
          <w:tcPr>
            <w:tcW w:w="6753" w:type="dxa"/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 xml:space="preserve">Можно увеличить размер пенсионных взносов, которые могут включаться работодателем в расходы на оплату труда, а также освободить страховые взносы, уплачиваемые работодателем в пользу бывших работников, от налога на прибыль.  </w:t>
            </w:r>
          </w:p>
        </w:tc>
      </w:tr>
      <w:tr w:rsidR="007407C1" w:rsidRPr="003A4B42" w:rsidTr="00ED2F07">
        <w:trPr>
          <w:trHeight w:val="96"/>
        </w:trPr>
        <w:tc>
          <w:tcPr>
            <w:tcW w:w="817" w:type="dxa"/>
            <w:tcBorders>
              <w:bottom w:val="single" w:sz="4" w:space="0" w:color="auto"/>
            </w:tcBorders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>Формирование специальных федеральных и индивидуальных программ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Создание специальных федеральных программ</w:t>
            </w: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 xml:space="preserve"> для отдельных категорий работников с учётом региональной или отраслевой специфики.  </w:t>
            </w:r>
            <w:r w:rsidRPr="003A4B4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Разработка индивидуальных программ</w:t>
            </w: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 xml:space="preserve"> для разных категорий сотрудников. Например, для руководителей компании можно предусмотреть более высокие взносы или особые условия выплаты пенсии.  </w:t>
            </w:r>
          </w:p>
        </w:tc>
      </w:tr>
      <w:tr w:rsidR="007407C1" w:rsidRPr="003A4B42" w:rsidTr="00ED2F07">
        <w:trPr>
          <w:trHeight w:val="156"/>
        </w:trPr>
        <w:tc>
          <w:tcPr>
            <w:tcW w:w="817" w:type="dxa"/>
            <w:tcBorders>
              <w:top w:val="single" w:sz="4" w:space="0" w:color="auto"/>
            </w:tcBorders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</w:t>
            </w:r>
          </w:p>
        </w:tc>
        <w:tc>
          <w:tcPr>
            <w:tcW w:w="6753" w:type="dxa"/>
            <w:tcBorders>
              <w:top w:val="single" w:sz="4" w:space="0" w:color="auto"/>
            </w:tcBorders>
          </w:tcPr>
          <w:p w:rsidR="007407C1" w:rsidRPr="003A4B42" w:rsidRDefault="007407C1" w:rsidP="00ED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4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</w:t>
            </w:r>
            <w:r w:rsidRPr="003A4B42">
              <w:rPr>
                <w:rFonts w:ascii="Times New Roman" w:hAnsi="Times New Roman" w:cs="Times New Roman"/>
                <w:sz w:val="24"/>
                <w:szCs w:val="24"/>
              </w:rPr>
              <w:t xml:space="preserve">, доступности информации, расширение спектра предоставляемых пенсионных продуктов клиентам негосударственных пенсионных фондов и более тесное взаимодействие с компаниями по страхованию жизни.  </w:t>
            </w:r>
          </w:p>
        </w:tc>
      </w:tr>
    </w:tbl>
    <w:p w:rsidR="00772E5C" w:rsidRDefault="00772E5C"/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996" w:rsidRDefault="00062996" w:rsidP="00126BA3">
      <w:pPr>
        <w:spacing w:after="0" w:line="240" w:lineRule="auto"/>
      </w:pPr>
      <w:r>
        <w:separator/>
      </w:r>
    </w:p>
  </w:endnote>
  <w:endnote w:type="continuationSeparator" w:id="1">
    <w:p w:rsidR="00062996" w:rsidRDefault="00062996" w:rsidP="0012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996" w:rsidRDefault="00062996" w:rsidP="00126BA3">
      <w:pPr>
        <w:spacing w:after="0" w:line="240" w:lineRule="auto"/>
      </w:pPr>
      <w:r>
        <w:separator/>
      </w:r>
    </w:p>
  </w:footnote>
  <w:footnote w:type="continuationSeparator" w:id="1">
    <w:p w:rsidR="00062996" w:rsidRDefault="00062996" w:rsidP="00126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A3" w:rsidRPr="00126BA3" w:rsidRDefault="00126BA3" w:rsidP="00126BA3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126BA3">
      <w:rPr>
        <w:rFonts w:ascii="Times New Roman" w:hAnsi="Times New Roman" w:cs="Times New Roman"/>
        <w:sz w:val="24"/>
        <w:szCs w:val="24"/>
      </w:rPr>
      <w:t>ПРИЛОЖЕНИЕ Н</w:t>
    </w:r>
  </w:p>
  <w:p w:rsidR="00126BA3" w:rsidRDefault="00126BA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07C1"/>
    <w:rsid w:val="00062996"/>
    <w:rsid w:val="00126BA3"/>
    <w:rsid w:val="00364A71"/>
    <w:rsid w:val="007407C1"/>
    <w:rsid w:val="00772E5C"/>
    <w:rsid w:val="0087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07C1"/>
    <w:rPr>
      <w:b/>
      <w:bCs/>
    </w:rPr>
  </w:style>
  <w:style w:type="table" w:styleId="a4">
    <w:name w:val="Table Grid"/>
    <w:basedOn w:val="a1"/>
    <w:uiPriority w:val="59"/>
    <w:rsid w:val="00740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6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6BA3"/>
  </w:style>
  <w:style w:type="paragraph" w:styleId="a7">
    <w:name w:val="footer"/>
    <w:basedOn w:val="a"/>
    <w:link w:val="a8"/>
    <w:uiPriority w:val="99"/>
    <w:semiHidden/>
    <w:unhideWhenUsed/>
    <w:rsid w:val="00126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6BA3"/>
  </w:style>
  <w:style w:type="paragraph" w:styleId="a9">
    <w:name w:val="Balloon Text"/>
    <w:basedOn w:val="a"/>
    <w:link w:val="aa"/>
    <w:uiPriority w:val="99"/>
    <w:semiHidden/>
    <w:unhideWhenUsed/>
    <w:rsid w:val="0012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2025-06-05T11:42:00Z</dcterms:created>
  <dcterms:modified xsi:type="dcterms:W3CDTF">2025-06-05T13:49:00Z</dcterms:modified>
</cp:coreProperties>
</file>