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41" w:rsidRDefault="00921C41" w:rsidP="00F54F35">
      <w:pPr>
        <w:spacing w:after="0" w:line="360" w:lineRule="auto"/>
        <w:ind w:firstLine="709"/>
        <w:jc w:val="center"/>
        <w:rPr>
          <w:rStyle w:val="a3"/>
          <w:rFonts w:ascii="Times New Roman" w:hAnsi="Times New Roman" w:cs="Times New Roman"/>
          <w:b w:val="0"/>
          <w:sz w:val="28"/>
          <w:szCs w:val="28"/>
        </w:rPr>
      </w:pPr>
      <w:r w:rsidRPr="003A4B42">
        <w:rPr>
          <w:rStyle w:val="a3"/>
          <w:rFonts w:ascii="Times New Roman" w:hAnsi="Times New Roman" w:cs="Times New Roman"/>
          <w:sz w:val="28"/>
          <w:szCs w:val="28"/>
        </w:rPr>
        <w:t>Развитие  негосударственных пенсионных фондов (НПФ)</w:t>
      </w:r>
    </w:p>
    <w:p w:rsidR="00921C41" w:rsidRPr="003A4B42" w:rsidRDefault="00921C41" w:rsidP="00921C41">
      <w:pPr>
        <w:spacing w:after="0" w:line="360" w:lineRule="auto"/>
        <w:ind w:firstLine="709"/>
        <w:jc w:val="both"/>
        <w:rPr>
          <w:rFonts w:ascii="Times New Roman" w:hAnsi="Times New Roman" w:cs="Times New Roman"/>
          <w:sz w:val="28"/>
          <w:szCs w:val="28"/>
        </w:rPr>
      </w:pPr>
    </w:p>
    <w:p w:rsidR="00921C41" w:rsidRPr="003A4B42" w:rsidRDefault="00921C41" w:rsidP="00921C41">
      <w:pPr>
        <w:spacing w:after="0" w:line="360" w:lineRule="auto"/>
        <w:ind w:firstLine="709"/>
        <w:jc w:val="both"/>
        <w:rPr>
          <w:rFonts w:ascii="Times New Roman" w:eastAsia="Times New Roman" w:hAnsi="Times New Roman" w:cs="Times New Roman"/>
          <w:spacing w:val="-2"/>
          <w:sz w:val="28"/>
          <w:szCs w:val="28"/>
          <w:lang w:eastAsia="ru-RU"/>
        </w:rPr>
      </w:pPr>
      <w:r w:rsidRPr="003A4B42">
        <w:rPr>
          <w:rFonts w:ascii="Times New Roman" w:eastAsia="Times New Roman" w:hAnsi="Times New Roman" w:cs="Times New Roman"/>
          <w:spacing w:val="-2"/>
          <w:sz w:val="28"/>
          <w:szCs w:val="28"/>
          <w:lang w:eastAsia="ru-RU"/>
        </w:rPr>
        <w:t>С 01.01.2024 года заработала программа долгосрочных сбережений, обеспечивающая формирование дополнительного капитала. Договор долгосрочных сбережений -соглашение между фондом и вкладчиком, в соответствии с которым вкладчик обязуется уплачивать сберегательные взносы в фонд, а фонд обязуется осуществлять выплаты участнику при наступлении оснований для назначения таких выплат НПФ, которые имеют лицензию по ОПС, осуществляют управление пенсионными накоплениями, формирующимися за счет уплачиваемых работодателями за своих работников страховых взносов по ОПС. С 2014 года перечисление работодателями новых взносов на формирование накопительной части пенсии приостановлено, и в настоящий момент НПФ управляют средствами, накопленными за прошлые периоды. Все фонды, которые занимаются ОПС, включены в систему гарантирования прав застрахованных лиц. Средства, доверенные таким фондам, гарантируются Агентством по страхованию вкладов.</w:t>
      </w:r>
    </w:p>
    <w:p w:rsidR="00921C41" w:rsidRPr="003A4B42" w:rsidRDefault="00921C41" w:rsidP="00921C41">
      <w:pPr>
        <w:spacing w:after="0" w:line="360" w:lineRule="auto"/>
        <w:ind w:firstLine="709"/>
        <w:jc w:val="both"/>
        <w:rPr>
          <w:rFonts w:ascii="Times New Roman" w:eastAsia="Times New Roman" w:hAnsi="Times New Roman" w:cs="Times New Roman"/>
          <w:sz w:val="28"/>
          <w:szCs w:val="28"/>
          <w:lang w:eastAsia="ru-RU"/>
        </w:rPr>
      </w:pPr>
      <w:r w:rsidRPr="003A4B42">
        <w:rPr>
          <w:rFonts w:ascii="Times New Roman" w:eastAsia="Times New Roman" w:hAnsi="Times New Roman" w:cs="Times New Roman"/>
          <w:spacing w:val="-2"/>
          <w:sz w:val="28"/>
          <w:szCs w:val="28"/>
          <w:lang w:eastAsia="ru-RU"/>
        </w:rPr>
        <w:t xml:space="preserve">В рамках НПО фонды осуществляют управление средствами пенсионных резервов, формирующимися за счет исключительно добровольных пенсионных взносов юридических и физических лиц. </w:t>
      </w:r>
      <w:r w:rsidRPr="003A4B42">
        <w:rPr>
          <w:rFonts w:ascii="Times New Roman" w:eastAsia="Times New Roman" w:hAnsi="Times New Roman" w:cs="Times New Roman"/>
          <w:sz w:val="28"/>
          <w:szCs w:val="28"/>
          <w:lang w:eastAsia="ru-RU"/>
        </w:rPr>
        <w:t>Объем средств негосударственных пенсионных фондов по итогам I квартала 2025 года составил 5,7 трлн.руб</w:t>
      </w:r>
      <w:r>
        <w:rPr>
          <w:rFonts w:ascii="Times New Roman" w:eastAsia="Times New Roman" w:hAnsi="Times New Roman" w:cs="Times New Roman"/>
          <w:sz w:val="28"/>
          <w:szCs w:val="28"/>
          <w:lang w:eastAsia="ru-RU"/>
        </w:rPr>
        <w:t>.[31]</w:t>
      </w:r>
      <w:r w:rsidRPr="003A4B42">
        <w:rPr>
          <w:rFonts w:ascii="Times New Roman" w:eastAsia="Times New Roman" w:hAnsi="Times New Roman" w:cs="Times New Roman"/>
          <w:sz w:val="28"/>
          <w:szCs w:val="28"/>
          <w:lang w:eastAsia="ru-RU"/>
        </w:rPr>
        <w:t>.</w:t>
      </w:r>
    </w:p>
    <w:p w:rsidR="00921C41" w:rsidRPr="003A4B42" w:rsidRDefault="00921C41" w:rsidP="00921C41">
      <w:pPr>
        <w:spacing w:after="0" w:line="360" w:lineRule="auto"/>
        <w:ind w:firstLine="709"/>
        <w:jc w:val="both"/>
        <w:rPr>
          <w:rFonts w:ascii="Times New Roman" w:eastAsia="Times New Roman" w:hAnsi="Times New Roman" w:cs="Times New Roman"/>
          <w:spacing w:val="-2"/>
          <w:sz w:val="28"/>
          <w:szCs w:val="28"/>
          <w:lang w:eastAsia="ru-RU"/>
        </w:rPr>
      </w:pPr>
      <w:r w:rsidRPr="003A4B42">
        <w:rPr>
          <w:rFonts w:ascii="Times New Roman" w:eastAsia="Times New Roman" w:hAnsi="Times New Roman" w:cs="Times New Roman"/>
          <w:spacing w:val="-2"/>
          <w:sz w:val="28"/>
          <w:szCs w:val="28"/>
          <w:lang w:eastAsia="ru-RU"/>
        </w:rPr>
        <w:t>Средства НПФ являются источником так называемых длинных денег. Одним из главных трендов последних лет является увеличение доли вложений НПФ в реальный и государственный секторы экономики на фоне сокращения финансового сектора.</w:t>
      </w:r>
    </w:p>
    <w:p w:rsidR="00921C41" w:rsidRPr="003A4B42" w:rsidRDefault="00921C41" w:rsidP="00921C41">
      <w:pPr>
        <w:spacing w:after="0" w:line="360" w:lineRule="auto"/>
        <w:ind w:firstLine="709"/>
        <w:jc w:val="both"/>
        <w:rPr>
          <w:rFonts w:ascii="Times New Roman" w:eastAsia="Times New Roman" w:hAnsi="Times New Roman" w:cs="Times New Roman"/>
          <w:spacing w:val="-2"/>
          <w:sz w:val="28"/>
          <w:szCs w:val="28"/>
          <w:lang w:eastAsia="ru-RU"/>
        </w:rPr>
      </w:pPr>
      <w:r w:rsidRPr="003A4B42">
        <w:rPr>
          <w:rFonts w:ascii="Times New Roman" w:eastAsia="Times New Roman" w:hAnsi="Times New Roman" w:cs="Times New Roman"/>
          <w:spacing w:val="-2"/>
          <w:sz w:val="28"/>
          <w:szCs w:val="28"/>
          <w:lang w:eastAsia="ru-RU"/>
        </w:rPr>
        <w:t xml:space="preserve">Управляющие компании занимаются следующими видами деятельности: управление средствами инвестиционных фондов; инвестирование средств НПФ и СФР; управление ценными бумагами и денежными средствами в интересах физических и юридических лиц </w:t>
      </w:r>
      <w:r w:rsidRPr="003A4B42">
        <w:rPr>
          <w:rFonts w:ascii="Times New Roman" w:eastAsia="Times New Roman" w:hAnsi="Times New Roman" w:cs="Times New Roman"/>
          <w:spacing w:val="-2"/>
          <w:sz w:val="28"/>
          <w:szCs w:val="28"/>
          <w:lang w:eastAsia="ru-RU"/>
        </w:rPr>
        <w:lastRenderedPageBreak/>
        <w:t>(при наличии лицензии на осуществление деятельности по управлению ценными бумагами); управление страховыми резервами и собственными средствами страховщиков; управление средствами ипотечного покрытия; управление средствами жилищного обеспечения военнослужащих.</w:t>
      </w:r>
    </w:p>
    <w:p w:rsidR="00921C41" w:rsidRPr="003A4B42" w:rsidRDefault="00921C41" w:rsidP="00921C41">
      <w:pPr>
        <w:spacing w:after="0" w:line="360" w:lineRule="auto"/>
        <w:ind w:firstLine="709"/>
        <w:jc w:val="both"/>
        <w:rPr>
          <w:rFonts w:ascii="Times New Roman" w:eastAsia="Times New Roman" w:hAnsi="Times New Roman" w:cs="Times New Roman"/>
          <w:spacing w:val="-2"/>
          <w:sz w:val="28"/>
          <w:szCs w:val="28"/>
          <w:lang w:eastAsia="ru-RU"/>
        </w:rPr>
      </w:pPr>
      <w:r w:rsidRPr="003A4B42">
        <w:rPr>
          <w:rFonts w:ascii="Times New Roman" w:eastAsia="Times New Roman" w:hAnsi="Times New Roman" w:cs="Times New Roman"/>
          <w:sz w:val="28"/>
          <w:szCs w:val="28"/>
          <w:lang w:eastAsia="ru-RU"/>
        </w:rPr>
        <w:t xml:space="preserve">По данным на 31 марта 2025 года: 35,4 млн. человек участвуют в ОПС, 6,0 млн. человек - в НПО, 3,9 млн. человек – в ПДС.  </w:t>
      </w:r>
      <w:r w:rsidRPr="003A4B42">
        <w:rPr>
          <w:rFonts w:ascii="Times New Roman" w:eastAsia="Times New Roman" w:hAnsi="Times New Roman" w:cs="Times New Roman"/>
          <w:spacing w:val="-2"/>
          <w:sz w:val="28"/>
          <w:szCs w:val="28"/>
          <w:lang w:eastAsia="ru-RU"/>
        </w:rPr>
        <w:t>В последние годы среди розничных инвесторов растет популярность инвестиционных фондов, которые бывают паевыми и акционерными</w:t>
      </w:r>
      <w:r>
        <w:rPr>
          <w:rFonts w:ascii="Times New Roman" w:eastAsia="Times New Roman" w:hAnsi="Times New Roman" w:cs="Times New Roman"/>
          <w:spacing w:val="-2"/>
          <w:sz w:val="28"/>
          <w:szCs w:val="28"/>
          <w:lang w:eastAsia="ru-RU"/>
        </w:rPr>
        <w:t>[31]</w:t>
      </w:r>
      <w:r w:rsidRPr="003A4B42">
        <w:rPr>
          <w:rFonts w:ascii="Times New Roman" w:eastAsia="Times New Roman" w:hAnsi="Times New Roman" w:cs="Times New Roman"/>
          <w:spacing w:val="-2"/>
          <w:sz w:val="28"/>
          <w:szCs w:val="28"/>
          <w:lang w:eastAsia="ru-RU"/>
        </w:rPr>
        <w:t xml:space="preserve">. </w:t>
      </w:r>
    </w:p>
    <w:p w:rsidR="00921C41" w:rsidRPr="003A4B42" w:rsidRDefault="00921C41" w:rsidP="00921C41">
      <w:pPr>
        <w:spacing w:after="0" w:line="360" w:lineRule="auto"/>
        <w:ind w:firstLine="709"/>
        <w:jc w:val="both"/>
        <w:rPr>
          <w:rFonts w:ascii="Times New Roman" w:eastAsia="Times New Roman" w:hAnsi="Times New Roman" w:cs="Times New Roman"/>
          <w:spacing w:val="-2"/>
          <w:sz w:val="28"/>
          <w:szCs w:val="28"/>
          <w:lang w:eastAsia="ru-RU"/>
        </w:rPr>
      </w:pPr>
      <w:r w:rsidRPr="003A4B42">
        <w:rPr>
          <w:rFonts w:ascii="Times New Roman" w:eastAsia="Times New Roman" w:hAnsi="Times New Roman" w:cs="Times New Roman"/>
          <w:spacing w:val="-2"/>
          <w:sz w:val="28"/>
          <w:szCs w:val="28"/>
          <w:lang w:eastAsia="ru-RU"/>
        </w:rPr>
        <w:t>В августе 2018 года Банк России зарегистрировал правила доверительного управления первого в России биржевого ПИФ, ознаменовав тем самым новый этап в развитии российского рынка инвестиционных фондов.</w:t>
      </w:r>
      <w:r w:rsidRPr="003A4B42">
        <w:rPr>
          <w:rFonts w:ascii="Times New Roman" w:eastAsia="Times New Roman" w:hAnsi="Times New Roman" w:cs="Times New Roman"/>
          <w:sz w:val="28"/>
          <w:szCs w:val="28"/>
          <w:lang w:eastAsia="ru-RU"/>
        </w:rPr>
        <w:t xml:space="preserve"> </w:t>
      </w:r>
      <w:r w:rsidRPr="003A4B42">
        <w:rPr>
          <w:rFonts w:ascii="Times New Roman" w:eastAsia="Times New Roman" w:hAnsi="Times New Roman" w:cs="Times New Roman"/>
          <w:spacing w:val="-2"/>
          <w:sz w:val="28"/>
          <w:szCs w:val="28"/>
          <w:lang w:eastAsia="ru-RU"/>
        </w:rPr>
        <w:t>Банк России является одновременно регулятором и контролирующим органом для  управляющих компаний инвестиционных фондов, НПФ  и инвестиционных фондов: он устанавливает правила на  рынке коллективных инвестиций и следит за  их  соблюдением. С учетом социальной значимости участников рынка коллективных инвестиций и прежде всего НПФ Банком России уделяется особое внимание вопросам их финансовой устойчивости и надежности, противодействия недобросовестным практикам и защиты прав потребителей финансовых услуг.</w:t>
      </w:r>
    </w:p>
    <w:p w:rsidR="00921C41" w:rsidRPr="003A4B42" w:rsidRDefault="00921C41" w:rsidP="00921C41">
      <w:pPr>
        <w:spacing w:after="0" w:line="360" w:lineRule="auto"/>
        <w:ind w:firstLine="709"/>
        <w:jc w:val="both"/>
        <w:rPr>
          <w:rFonts w:ascii="Times New Roman" w:eastAsia="Times New Roman" w:hAnsi="Times New Roman" w:cs="Times New Roman"/>
          <w:sz w:val="28"/>
          <w:szCs w:val="28"/>
          <w:lang w:eastAsia="ru-RU"/>
        </w:rPr>
      </w:pPr>
      <w:r w:rsidRPr="003A4B42">
        <w:rPr>
          <w:rFonts w:ascii="Times New Roman" w:eastAsia="Times New Roman" w:hAnsi="Times New Roman" w:cs="Times New Roman"/>
          <w:spacing w:val="-2"/>
          <w:sz w:val="28"/>
          <w:szCs w:val="28"/>
          <w:lang w:eastAsia="ru-RU"/>
        </w:rPr>
        <w:t>Помимо Банка России в отрасли существует еще один контролирующий институт - специализированные депозитарии ПИФ и НПФ (хранят имущество фондов и контролируют распоряжение им), а также регулирующий - саморегулируемые организации участников рынка коллективных инвестиций (задают стандарты для своих членов). Их деятельность также находится под контролем Банка России.</w:t>
      </w:r>
      <w:r w:rsidRPr="003A4B42">
        <w:rPr>
          <w:rFonts w:ascii="Times New Roman" w:eastAsia="Times New Roman" w:hAnsi="Times New Roman" w:cs="Times New Roman"/>
          <w:sz w:val="28"/>
          <w:szCs w:val="28"/>
          <w:lang w:eastAsia="ru-RU"/>
        </w:rPr>
        <w:t xml:space="preserve"> Стоимость чистых активов ПИФ по итогам I квартала 2025 года составила 17,9 трлн. руб</w:t>
      </w:r>
      <w:r>
        <w:rPr>
          <w:rFonts w:ascii="Times New Roman" w:eastAsia="Times New Roman" w:hAnsi="Times New Roman" w:cs="Times New Roman"/>
          <w:sz w:val="28"/>
          <w:szCs w:val="28"/>
          <w:lang w:eastAsia="ru-RU"/>
        </w:rPr>
        <w:t>.[31]</w:t>
      </w:r>
      <w:r w:rsidRPr="003A4B42">
        <w:rPr>
          <w:rFonts w:ascii="Times New Roman" w:eastAsia="Times New Roman" w:hAnsi="Times New Roman" w:cs="Times New Roman"/>
          <w:sz w:val="28"/>
          <w:szCs w:val="28"/>
          <w:lang w:eastAsia="ru-RU"/>
        </w:rPr>
        <w:t xml:space="preserve">. </w:t>
      </w:r>
    </w:p>
    <w:p w:rsidR="00921C41" w:rsidRDefault="00921C41" w:rsidP="00921C41">
      <w:pPr>
        <w:spacing w:after="0" w:line="360" w:lineRule="auto"/>
        <w:ind w:firstLine="709"/>
        <w:jc w:val="both"/>
        <w:rPr>
          <w:rFonts w:ascii="Times New Roman" w:hAnsi="Times New Roman" w:cs="Times New Roman"/>
          <w:spacing w:val="2"/>
          <w:sz w:val="28"/>
          <w:szCs w:val="28"/>
          <w:shd w:val="clear" w:color="auto" w:fill="FFFFFF"/>
        </w:rPr>
      </w:pPr>
    </w:p>
    <w:p w:rsidR="00921C41" w:rsidRDefault="00921C41" w:rsidP="00921C41">
      <w:pPr>
        <w:spacing w:after="0" w:line="360" w:lineRule="auto"/>
        <w:ind w:firstLine="709"/>
        <w:jc w:val="both"/>
        <w:rPr>
          <w:rFonts w:ascii="Times New Roman" w:hAnsi="Times New Roman" w:cs="Times New Roman"/>
          <w:spacing w:val="2"/>
          <w:sz w:val="28"/>
          <w:szCs w:val="28"/>
          <w:shd w:val="clear" w:color="auto" w:fill="FFFFFF"/>
        </w:rPr>
      </w:pPr>
    </w:p>
    <w:p w:rsidR="00921C41" w:rsidRDefault="00921C41" w:rsidP="00921C41">
      <w:pPr>
        <w:spacing w:after="0" w:line="360" w:lineRule="auto"/>
        <w:ind w:firstLine="709"/>
        <w:jc w:val="both"/>
        <w:rPr>
          <w:rFonts w:ascii="Times New Roman" w:hAnsi="Times New Roman" w:cs="Times New Roman"/>
          <w:spacing w:val="2"/>
          <w:sz w:val="28"/>
          <w:szCs w:val="28"/>
          <w:shd w:val="clear" w:color="auto" w:fill="FFFFFF"/>
        </w:rPr>
      </w:pPr>
    </w:p>
    <w:p w:rsidR="00921C41" w:rsidRDefault="00921C41" w:rsidP="00921C41">
      <w:pPr>
        <w:spacing w:after="0" w:line="360" w:lineRule="auto"/>
        <w:ind w:firstLine="709"/>
        <w:jc w:val="both"/>
        <w:rPr>
          <w:rFonts w:ascii="Times New Roman" w:hAnsi="Times New Roman" w:cs="Times New Roman"/>
          <w:spacing w:val="2"/>
          <w:sz w:val="28"/>
          <w:szCs w:val="28"/>
          <w:shd w:val="clear" w:color="auto" w:fill="FFFFFF"/>
        </w:rPr>
      </w:pPr>
    </w:p>
    <w:p w:rsidR="007005F7" w:rsidRPr="003A4B42" w:rsidRDefault="000D31FB" w:rsidP="007005F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3.6</w:t>
      </w:r>
    </w:p>
    <w:p w:rsidR="007005F7" w:rsidRPr="003A4B42" w:rsidRDefault="007005F7" w:rsidP="007005F7">
      <w:pPr>
        <w:spacing w:after="0" w:line="360" w:lineRule="auto"/>
        <w:ind w:firstLine="709"/>
        <w:jc w:val="center"/>
        <w:rPr>
          <w:rFonts w:ascii="Times New Roman" w:eastAsia="Times New Roman" w:hAnsi="Times New Roman" w:cs="Times New Roman"/>
          <w:sz w:val="28"/>
          <w:szCs w:val="28"/>
          <w:lang w:eastAsia="ru-RU"/>
        </w:rPr>
      </w:pPr>
      <w:r w:rsidRPr="003A4B42">
        <w:rPr>
          <w:rFonts w:ascii="Times New Roman" w:eastAsia="Times New Roman" w:hAnsi="Times New Roman" w:cs="Times New Roman"/>
          <w:sz w:val="28"/>
          <w:szCs w:val="28"/>
          <w:lang w:eastAsia="ru-RU"/>
        </w:rPr>
        <w:t>Плюсы и минусы НПФ</w:t>
      </w:r>
    </w:p>
    <w:tbl>
      <w:tblPr>
        <w:tblStyle w:val="a4"/>
        <w:tblW w:w="0" w:type="auto"/>
        <w:tblLook w:val="04A0"/>
      </w:tblPr>
      <w:tblGrid>
        <w:gridCol w:w="802"/>
        <w:gridCol w:w="1980"/>
        <w:gridCol w:w="202"/>
        <w:gridCol w:w="472"/>
        <w:gridCol w:w="270"/>
        <w:gridCol w:w="5845"/>
      </w:tblGrid>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 п/п</w:t>
            </w:r>
          </w:p>
        </w:tc>
        <w:tc>
          <w:tcPr>
            <w:tcW w:w="2977" w:type="dxa"/>
            <w:gridSpan w:val="4"/>
          </w:tcPr>
          <w:p w:rsidR="007005F7" w:rsidRPr="003A4B42" w:rsidRDefault="007005F7" w:rsidP="00ED2F07">
            <w:pPr>
              <w:jc w:val="cente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 xml:space="preserve">Преимущества </w:t>
            </w:r>
          </w:p>
          <w:p w:rsidR="007005F7" w:rsidRPr="003A4B42" w:rsidRDefault="007005F7" w:rsidP="00ED2F07">
            <w:pPr>
              <w:jc w:val="cente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и недостатки</w:t>
            </w:r>
          </w:p>
        </w:tc>
        <w:tc>
          <w:tcPr>
            <w:tcW w:w="6060" w:type="dxa"/>
          </w:tcPr>
          <w:p w:rsidR="007005F7" w:rsidRPr="003A4B42" w:rsidRDefault="007005F7" w:rsidP="00ED2F07">
            <w:pPr>
              <w:jc w:val="cente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Описание</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w:t>
            </w:r>
          </w:p>
        </w:tc>
        <w:tc>
          <w:tcPr>
            <w:tcW w:w="9037" w:type="dxa"/>
            <w:gridSpan w:val="5"/>
          </w:tcPr>
          <w:p w:rsidR="007005F7" w:rsidRPr="003A4B42" w:rsidRDefault="007005F7" w:rsidP="00ED2F07">
            <w:pPr>
              <w:jc w:val="cente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Преимущества</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1.1</w:t>
            </w:r>
          </w:p>
        </w:tc>
        <w:tc>
          <w:tcPr>
            <w:tcW w:w="2196" w:type="dxa"/>
            <w:gridSpan w:val="2"/>
            <w:tcBorders>
              <w:right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Более высокая доходность инвестиций</w:t>
            </w:r>
            <w:r w:rsidRPr="003A4B42">
              <w:rPr>
                <w:rFonts w:ascii="Times New Roman" w:hAnsi="Times New Roman" w:cs="Times New Roman"/>
                <w:sz w:val="24"/>
                <w:szCs w:val="24"/>
                <w:lang w:eastAsia="ru-RU"/>
              </w:rPr>
              <w:br/>
            </w:r>
          </w:p>
        </w:tc>
        <w:tc>
          <w:tcPr>
            <w:tcW w:w="6841" w:type="dxa"/>
            <w:gridSpan w:val="3"/>
            <w:tcBorders>
              <w:left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НПФ имеют право вкладывать пенсионные средства в разные финансовые инструменты. Это позволяет им обеспечивать более высокий уровень доходности по сравнению с ПФР, которые придерживаются более консервативных стратегий инвестирования.</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1.2</w:t>
            </w:r>
          </w:p>
        </w:tc>
        <w:tc>
          <w:tcPr>
            <w:tcW w:w="2977" w:type="dxa"/>
            <w:gridSpan w:val="4"/>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Возможность получать социальный налоговый вычет</w:t>
            </w:r>
          </w:p>
        </w:tc>
        <w:tc>
          <w:tcPr>
            <w:tcW w:w="6060"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Взносы в НПФ дают право на возврат 13% НДФЛ, что повышает эффективность накоплений.</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1.3</w:t>
            </w:r>
          </w:p>
        </w:tc>
        <w:tc>
          <w:tcPr>
            <w:tcW w:w="2977" w:type="dxa"/>
            <w:gridSpan w:val="4"/>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Гибкость в формировании накоплений</w:t>
            </w:r>
          </w:p>
        </w:tc>
        <w:tc>
          <w:tcPr>
            <w:tcW w:w="6060"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Участники НПФ могут сами определять размер и периодичность взносов, а также выбирать варианты выплат (единовременные, срочные, пожизненные), что недоступно в рамках государственной системы.</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1.4</w:t>
            </w:r>
          </w:p>
        </w:tc>
        <w:tc>
          <w:tcPr>
            <w:tcW w:w="2977" w:type="dxa"/>
            <w:gridSpan w:val="4"/>
          </w:tcPr>
          <w:p w:rsidR="007005F7" w:rsidRPr="003A4B42" w:rsidRDefault="007005F7" w:rsidP="00ED2F07">
            <w:pPr>
              <w:rPr>
                <w:rFonts w:ascii="Times New Roman" w:hAnsi="Times New Roman" w:cs="Times New Roman"/>
                <w:sz w:val="24"/>
                <w:szCs w:val="24"/>
                <w:bdr w:val="none" w:sz="0" w:space="0" w:color="auto" w:frame="1"/>
                <w:lang w:eastAsia="ru-RU"/>
              </w:rPr>
            </w:pP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Ранние пенсионные выплаты</w:t>
            </w:r>
            <w:r w:rsidRPr="003A4B42">
              <w:rPr>
                <w:rFonts w:ascii="Times New Roman" w:hAnsi="Times New Roman" w:cs="Times New Roman"/>
                <w:sz w:val="24"/>
                <w:szCs w:val="24"/>
                <w:lang w:eastAsia="ru-RU"/>
              </w:rPr>
              <w:br/>
            </w:r>
          </w:p>
        </w:tc>
        <w:tc>
          <w:tcPr>
            <w:tcW w:w="6060" w:type="dxa"/>
          </w:tcPr>
          <w:p w:rsidR="007005F7" w:rsidRPr="003A4B42" w:rsidRDefault="007005F7" w:rsidP="00ED2F07">
            <w:pPr>
              <w:jc w:val="right"/>
              <w:rPr>
                <w:rFonts w:ascii="Times New Roman" w:hAnsi="Times New Roman" w:cs="Times New Roman"/>
                <w:sz w:val="24"/>
                <w:szCs w:val="24"/>
                <w:lang w:eastAsia="ru-RU"/>
              </w:rPr>
            </w:pPr>
            <w:r w:rsidRPr="003A4B42">
              <w:rPr>
                <w:rFonts w:ascii="Times New Roman" w:hAnsi="Times New Roman" w:cs="Times New Roman"/>
                <w:sz w:val="24"/>
                <w:szCs w:val="24"/>
                <w:lang w:eastAsia="ru-RU"/>
              </w:rPr>
              <w:t>Продолжение таблицы 3.8</w:t>
            </w: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Пенсия из НПФ по программе долгосрочных сбережений может назначаться на 5 лет раньше. С 55 лет для женщин и 60 лет для мужчин.</w:t>
            </w:r>
          </w:p>
        </w:tc>
      </w:tr>
      <w:tr w:rsidR="007005F7" w:rsidRPr="003A4B42" w:rsidTr="00ED2F07">
        <w:tc>
          <w:tcPr>
            <w:tcW w:w="817" w:type="dxa"/>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1.5</w:t>
            </w:r>
          </w:p>
        </w:tc>
        <w:tc>
          <w:tcPr>
            <w:tcW w:w="1985" w:type="dxa"/>
            <w:tcBorders>
              <w:right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Защита накоплений и высокая надежность</w:t>
            </w:r>
          </w:p>
        </w:tc>
        <w:tc>
          <w:tcPr>
            <w:tcW w:w="7052" w:type="dxa"/>
            <w:gridSpan w:val="4"/>
            <w:tcBorders>
              <w:left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Средства в НПФ защищены от взыскания третьими лицами, включая судебных приставов. Также фонд не может использовать эти деньги, чтобы покрыть свои обязательства. При банкротстве НПФ накопления возвращают вкладчикам или переводят в другой фонд. При этом, накопления могут наследоваться и не делятся при разводе.</w:t>
            </w:r>
          </w:p>
        </w:tc>
      </w:tr>
      <w:tr w:rsidR="007005F7" w:rsidRPr="003A4B42" w:rsidTr="00ED2F07">
        <w:trPr>
          <w:trHeight w:val="609"/>
        </w:trPr>
        <w:tc>
          <w:tcPr>
            <w:tcW w:w="817" w:type="dxa"/>
            <w:tcBorders>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1.6</w:t>
            </w:r>
          </w:p>
        </w:tc>
        <w:tc>
          <w:tcPr>
            <w:tcW w:w="2977" w:type="dxa"/>
            <w:gridSpan w:val="4"/>
            <w:tcBorders>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Прозрачность</w:t>
            </w:r>
          </w:p>
        </w:tc>
        <w:tc>
          <w:tcPr>
            <w:tcW w:w="6060" w:type="dxa"/>
            <w:tcBorders>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lang w:eastAsia="ru-RU"/>
              </w:rPr>
              <w:t>НПФ обязаны вести раздельный учет пенсионных резервов и накоплений. Это повышает прозрачность и защищает интересы клиентов.</w:t>
            </w:r>
          </w:p>
        </w:tc>
      </w:tr>
      <w:tr w:rsidR="007005F7" w:rsidRPr="003A4B42" w:rsidTr="00ED2F07">
        <w:trPr>
          <w:trHeight w:val="492"/>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1.7</w:t>
            </w:r>
          </w:p>
        </w:tc>
        <w:tc>
          <w:tcPr>
            <w:tcW w:w="2977" w:type="dxa"/>
            <w:gridSpan w:val="4"/>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Возможность накопления для членов семьи</w:t>
            </w:r>
          </w:p>
        </w:tc>
        <w:tc>
          <w:tcPr>
            <w:tcW w:w="6060"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НПФ позволяют формировать пенсионные накопления не только для себя, но и для близких родственников.</w:t>
            </w:r>
          </w:p>
        </w:tc>
      </w:tr>
      <w:tr w:rsidR="007005F7" w:rsidRPr="003A4B42" w:rsidTr="00ED2F07">
        <w:trPr>
          <w:trHeight w:val="197"/>
        </w:trPr>
        <w:tc>
          <w:tcPr>
            <w:tcW w:w="817" w:type="dxa"/>
            <w:tcBorders>
              <w:top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w:t>
            </w:r>
          </w:p>
        </w:tc>
        <w:tc>
          <w:tcPr>
            <w:tcW w:w="9037" w:type="dxa"/>
            <w:gridSpan w:val="5"/>
            <w:tcBorders>
              <w:top w:val="single" w:sz="4" w:space="0" w:color="auto"/>
            </w:tcBorders>
          </w:tcPr>
          <w:p w:rsidR="007005F7" w:rsidRPr="003A4B42" w:rsidRDefault="007005F7" w:rsidP="00ED2F07">
            <w:pPr>
              <w:jc w:val="center"/>
              <w:rPr>
                <w:rFonts w:ascii="Times New Roman" w:hAnsi="Times New Roman" w:cs="Times New Roman"/>
                <w:sz w:val="24"/>
                <w:szCs w:val="24"/>
                <w:lang w:eastAsia="ru-RU"/>
              </w:rPr>
            </w:pPr>
            <w:r w:rsidRPr="003A4B42">
              <w:rPr>
                <w:rFonts w:ascii="Times New Roman" w:hAnsi="Times New Roman" w:cs="Times New Roman"/>
                <w:sz w:val="24"/>
                <w:szCs w:val="24"/>
                <w:bdr w:val="none" w:sz="0" w:space="0" w:color="auto" w:frame="1"/>
                <w:lang w:eastAsia="ru-RU"/>
              </w:rPr>
              <w:t>Недостатки</w:t>
            </w:r>
          </w:p>
        </w:tc>
      </w:tr>
      <w:tr w:rsidR="007005F7" w:rsidRPr="003A4B42" w:rsidTr="00ED2F07">
        <w:trPr>
          <w:trHeight w:val="709"/>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2.1</w:t>
            </w:r>
          </w:p>
        </w:tc>
        <w:tc>
          <w:tcPr>
            <w:tcW w:w="2693" w:type="dxa"/>
            <w:gridSpan w:val="3"/>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Невозможно досрочно</w:t>
            </w: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 xml:space="preserve"> вывести накопленные </w:t>
            </w: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средства</w:t>
            </w:r>
          </w:p>
        </w:tc>
        <w:tc>
          <w:tcPr>
            <w:tcW w:w="6344" w:type="dxa"/>
            <w:gridSpan w:val="2"/>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Как и в государственном пенсионном фонде, средства можно получить только после достижения определенного возраста.</w:t>
            </w:r>
          </w:p>
        </w:tc>
      </w:tr>
      <w:tr w:rsidR="007005F7" w:rsidRPr="003A4B42" w:rsidTr="00ED2F07">
        <w:trPr>
          <w:trHeight w:val="132"/>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2.2</w:t>
            </w:r>
          </w:p>
        </w:tc>
        <w:tc>
          <w:tcPr>
            <w:tcW w:w="2693" w:type="dxa"/>
            <w:gridSpan w:val="3"/>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 xml:space="preserve">Риск задержек с </w:t>
            </w: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выплатами</w:t>
            </w:r>
          </w:p>
        </w:tc>
        <w:tc>
          <w:tcPr>
            <w:tcW w:w="6344" w:type="dxa"/>
            <w:gridSpan w:val="2"/>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 xml:space="preserve">В периоды экономической нестабильности НПФ могут нарушать сроки пенсионных выплат. Такие случаи — нарушение закона, но на практике иногда встречаются. </w:t>
            </w:r>
          </w:p>
        </w:tc>
      </w:tr>
      <w:tr w:rsidR="007005F7" w:rsidRPr="003A4B42" w:rsidTr="00ED2F07">
        <w:trPr>
          <w:trHeight w:val="132"/>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2.3</w:t>
            </w:r>
          </w:p>
        </w:tc>
        <w:tc>
          <w:tcPr>
            <w:tcW w:w="2693" w:type="dxa"/>
            <w:gridSpan w:val="3"/>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Инвестиционные риски</w:t>
            </w:r>
            <w:r w:rsidRPr="003A4B42">
              <w:rPr>
                <w:rFonts w:ascii="Times New Roman" w:hAnsi="Times New Roman" w:cs="Times New Roman"/>
                <w:sz w:val="24"/>
                <w:szCs w:val="24"/>
                <w:lang w:eastAsia="ru-RU"/>
              </w:rPr>
              <w:br/>
            </w:r>
          </w:p>
        </w:tc>
        <w:tc>
          <w:tcPr>
            <w:tcW w:w="6344" w:type="dxa"/>
            <w:gridSpan w:val="2"/>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Стоимость активов НПФ может колебаться. Это может привести к временному снижению стоимости накоплений и даже потерям доходности.</w:t>
            </w:r>
          </w:p>
        </w:tc>
      </w:tr>
      <w:tr w:rsidR="007005F7" w:rsidRPr="003A4B42" w:rsidTr="00ED2F07">
        <w:trPr>
          <w:trHeight w:val="98"/>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2.4</w:t>
            </w:r>
          </w:p>
        </w:tc>
        <w:tc>
          <w:tcPr>
            <w:tcW w:w="2693" w:type="dxa"/>
            <w:gridSpan w:val="3"/>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Расходы и комиссии</w:t>
            </w:r>
          </w:p>
        </w:tc>
        <w:tc>
          <w:tcPr>
            <w:tcW w:w="6344" w:type="dxa"/>
            <w:gridSpan w:val="2"/>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НПФ взимают плату за управление средствами, что снижает итоговую доходность пенсионных накоплений. </w:t>
            </w:r>
          </w:p>
        </w:tc>
      </w:tr>
      <w:tr w:rsidR="007005F7" w:rsidRPr="003A4B42" w:rsidTr="00ED2F07">
        <w:trPr>
          <w:trHeight w:val="132"/>
        </w:trPr>
        <w:tc>
          <w:tcPr>
            <w:tcW w:w="817" w:type="dxa"/>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2.5</w:t>
            </w:r>
          </w:p>
        </w:tc>
        <w:tc>
          <w:tcPr>
            <w:tcW w:w="2693" w:type="dxa"/>
            <w:gridSpan w:val="3"/>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 xml:space="preserve">Риск банкротства </w:t>
            </w:r>
          </w:p>
          <w:p w:rsidR="007005F7" w:rsidRPr="003A4B42" w:rsidRDefault="007005F7" w:rsidP="00ED2F07">
            <w:pPr>
              <w:rPr>
                <w:rFonts w:ascii="Times New Roman" w:hAnsi="Times New Roman" w:cs="Times New Roman"/>
                <w:sz w:val="24"/>
                <w:szCs w:val="24"/>
                <w:bdr w:val="none" w:sz="0" w:space="0" w:color="auto" w:frame="1"/>
                <w:lang w:eastAsia="ru-RU"/>
              </w:rPr>
            </w:pPr>
            <w:r w:rsidRPr="003A4B42">
              <w:rPr>
                <w:rFonts w:ascii="Times New Roman" w:hAnsi="Times New Roman" w:cs="Times New Roman"/>
                <w:sz w:val="24"/>
                <w:szCs w:val="24"/>
                <w:bdr w:val="none" w:sz="0" w:space="0" w:color="auto" w:frame="1"/>
                <w:lang w:eastAsia="ru-RU"/>
              </w:rPr>
              <w:t>фонда</w:t>
            </w:r>
            <w:r w:rsidRPr="003A4B42">
              <w:rPr>
                <w:rFonts w:ascii="Times New Roman" w:hAnsi="Times New Roman" w:cs="Times New Roman"/>
                <w:sz w:val="24"/>
                <w:szCs w:val="24"/>
                <w:lang w:eastAsia="ru-RU"/>
              </w:rPr>
              <w:br/>
            </w:r>
          </w:p>
        </w:tc>
        <w:tc>
          <w:tcPr>
            <w:tcW w:w="6344" w:type="dxa"/>
            <w:gridSpan w:val="2"/>
            <w:tcBorders>
              <w:top w:val="single" w:sz="4" w:space="0" w:color="auto"/>
              <w:bottom w:val="single" w:sz="4" w:space="0" w:color="auto"/>
            </w:tcBorders>
          </w:tcPr>
          <w:p w:rsidR="007005F7" w:rsidRPr="003A4B42" w:rsidRDefault="007005F7" w:rsidP="00ED2F07">
            <w:pPr>
              <w:rPr>
                <w:rFonts w:ascii="Times New Roman" w:hAnsi="Times New Roman" w:cs="Times New Roman"/>
                <w:sz w:val="24"/>
                <w:szCs w:val="24"/>
                <w:lang w:eastAsia="ru-RU"/>
              </w:rPr>
            </w:pPr>
            <w:r w:rsidRPr="003A4B42">
              <w:rPr>
                <w:rFonts w:ascii="Times New Roman" w:hAnsi="Times New Roman" w:cs="Times New Roman"/>
                <w:sz w:val="24"/>
                <w:szCs w:val="24"/>
                <w:lang w:eastAsia="ru-RU"/>
              </w:rPr>
              <w:t>Хотя закон защищает средства вкладчиков, банкротство НПФ может привести к потере части доходности или сложностям при смене фонда.</w:t>
            </w:r>
          </w:p>
        </w:tc>
      </w:tr>
    </w:tbl>
    <w:p w:rsidR="00921C41" w:rsidRDefault="00921C41" w:rsidP="00921C41">
      <w:pPr>
        <w:spacing w:after="0" w:line="360" w:lineRule="auto"/>
        <w:ind w:firstLine="709"/>
        <w:jc w:val="both"/>
        <w:rPr>
          <w:rFonts w:ascii="Times New Roman" w:hAnsi="Times New Roman" w:cs="Times New Roman"/>
          <w:spacing w:val="2"/>
          <w:sz w:val="28"/>
          <w:szCs w:val="28"/>
          <w:shd w:val="clear" w:color="auto" w:fill="FFFFFF"/>
        </w:rPr>
      </w:pPr>
    </w:p>
    <w:p w:rsidR="00772E5C" w:rsidRDefault="00772E5C"/>
    <w:sectPr w:rsidR="00772E5C"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20" w:rsidRDefault="00323520" w:rsidP="00F54F35">
      <w:pPr>
        <w:spacing w:after="0" w:line="240" w:lineRule="auto"/>
      </w:pPr>
      <w:r>
        <w:separator/>
      </w:r>
    </w:p>
  </w:endnote>
  <w:endnote w:type="continuationSeparator" w:id="1">
    <w:p w:rsidR="00323520" w:rsidRDefault="00323520" w:rsidP="00F54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20" w:rsidRDefault="00323520" w:rsidP="00F54F35">
      <w:pPr>
        <w:spacing w:after="0" w:line="240" w:lineRule="auto"/>
      </w:pPr>
      <w:r>
        <w:separator/>
      </w:r>
    </w:p>
  </w:footnote>
  <w:footnote w:type="continuationSeparator" w:id="1">
    <w:p w:rsidR="00323520" w:rsidRDefault="00323520" w:rsidP="00F54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35" w:rsidRPr="00F54F35" w:rsidRDefault="00F54F35" w:rsidP="00F54F35">
    <w:pPr>
      <w:pStyle w:val="a5"/>
      <w:jc w:val="right"/>
      <w:rPr>
        <w:rFonts w:ascii="Times New Roman" w:hAnsi="Times New Roman" w:cs="Times New Roman"/>
        <w:sz w:val="24"/>
        <w:szCs w:val="24"/>
      </w:rPr>
    </w:pPr>
    <w:r w:rsidRPr="00F54F35">
      <w:rPr>
        <w:rFonts w:ascii="Times New Roman" w:hAnsi="Times New Roman" w:cs="Times New Roman"/>
        <w:sz w:val="24"/>
        <w:szCs w:val="24"/>
      </w:rPr>
      <w:t>ПРИЛОЖЕНИЕ П</w:t>
    </w:r>
  </w:p>
  <w:p w:rsidR="00F54F35" w:rsidRDefault="00F54F3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21C41"/>
    <w:rsid w:val="000D31FB"/>
    <w:rsid w:val="00163C27"/>
    <w:rsid w:val="00323520"/>
    <w:rsid w:val="004915EE"/>
    <w:rsid w:val="007005F7"/>
    <w:rsid w:val="00772E5C"/>
    <w:rsid w:val="008740DC"/>
    <w:rsid w:val="00881D74"/>
    <w:rsid w:val="00921C41"/>
    <w:rsid w:val="00F54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1C41"/>
    <w:rPr>
      <w:b/>
      <w:bCs/>
    </w:rPr>
  </w:style>
  <w:style w:type="table" w:styleId="a4">
    <w:name w:val="Table Grid"/>
    <w:basedOn w:val="a1"/>
    <w:uiPriority w:val="59"/>
    <w:rsid w:val="007005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F54F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4F35"/>
  </w:style>
  <w:style w:type="paragraph" w:styleId="a7">
    <w:name w:val="footer"/>
    <w:basedOn w:val="a"/>
    <w:link w:val="a8"/>
    <w:uiPriority w:val="99"/>
    <w:semiHidden/>
    <w:unhideWhenUsed/>
    <w:rsid w:val="00F54F3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54F35"/>
  </w:style>
  <w:style w:type="paragraph" w:styleId="a9">
    <w:name w:val="Balloon Text"/>
    <w:basedOn w:val="a"/>
    <w:link w:val="aa"/>
    <w:uiPriority w:val="99"/>
    <w:semiHidden/>
    <w:unhideWhenUsed/>
    <w:rsid w:val="00F54F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4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5</cp:revision>
  <dcterms:created xsi:type="dcterms:W3CDTF">2025-06-05T11:45:00Z</dcterms:created>
  <dcterms:modified xsi:type="dcterms:W3CDTF">2025-06-05T13:49:00Z</dcterms:modified>
</cp:coreProperties>
</file>