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18" w:rsidRPr="00D3442C" w:rsidRDefault="008F4218" w:rsidP="00D3442C">
      <w:pPr>
        <w:pStyle w:val="a3"/>
        <w:spacing w:line="360" w:lineRule="auto"/>
        <w:ind w:left="0"/>
        <w:jc w:val="center"/>
        <w:rPr>
          <w:sz w:val="28"/>
          <w:szCs w:val="28"/>
        </w:rPr>
      </w:pPr>
      <w:r w:rsidRPr="00D3442C">
        <w:rPr>
          <w:sz w:val="28"/>
          <w:szCs w:val="28"/>
        </w:rPr>
        <w:t>Таблица 2.3–Динамика показателей баланса АО «ПАО «МАССАНДРА» с 2021-2023гг.</w:t>
      </w:r>
    </w:p>
    <w:tbl>
      <w:tblPr>
        <w:tblW w:w="4979" w:type="pct"/>
        <w:jc w:val="center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06"/>
        <w:gridCol w:w="1071"/>
        <w:gridCol w:w="1071"/>
        <w:gridCol w:w="1071"/>
        <w:gridCol w:w="2240"/>
      </w:tblGrid>
      <w:tr w:rsidR="008F4218" w:rsidRPr="0067124A" w:rsidTr="00414D1C">
        <w:trPr>
          <w:jc w:val="center"/>
        </w:trPr>
        <w:tc>
          <w:tcPr>
            <w:tcW w:w="2118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F4218" w:rsidRPr="0067124A" w:rsidRDefault="008F4218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rPr>
                <w:rFonts w:eastAsiaTheme="minorEastAsia"/>
              </w:rPr>
              <w:t>Показатели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8F4218" w:rsidRPr="0067124A" w:rsidRDefault="008F4218" w:rsidP="00505B10">
            <w:pPr>
              <w:jc w:val="right"/>
            </w:pPr>
            <w:r w:rsidRPr="0067124A">
              <w:t>2021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8F4218" w:rsidRPr="0067124A" w:rsidRDefault="008F4218" w:rsidP="00505B10">
            <w:pPr>
              <w:jc w:val="right"/>
            </w:pPr>
            <w:r w:rsidRPr="0067124A">
              <w:t>2022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8F4218" w:rsidRPr="0067124A" w:rsidRDefault="008F4218" w:rsidP="00505B10">
            <w:pPr>
              <w:jc w:val="right"/>
            </w:pPr>
            <w:r w:rsidRPr="0067124A">
              <w:t>2023</w:t>
            </w:r>
          </w:p>
        </w:tc>
        <w:tc>
          <w:tcPr>
            <w:tcW w:w="1184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F4218" w:rsidRPr="0067124A" w:rsidRDefault="008F4218" w:rsidP="00505B10">
            <w:pPr>
              <w:jc w:val="center"/>
            </w:pPr>
            <w:r w:rsidRPr="0067124A">
              <w:t>Отклонение 2023 от 2021,%</w:t>
            </w:r>
          </w:p>
        </w:tc>
      </w:tr>
      <w:tr w:rsidR="008F4218" w:rsidRPr="0067124A" w:rsidTr="00414D1C">
        <w:trPr>
          <w:trHeight w:val="216"/>
          <w:jc w:val="center"/>
        </w:trPr>
        <w:tc>
          <w:tcPr>
            <w:tcW w:w="2118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F4218" w:rsidRPr="0067124A" w:rsidRDefault="008F4218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Запасы, тыс. руб.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8F4218" w:rsidRPr="0067124A" w:rsidRDefault="008F4218" w:rsidP="00505B10">
            <w:pPr>
              <w:jc w:val="right"/>
            </w:pPr>
            <w:r w:rsidRPr="0067124A">
              <w:t>2693429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8F4218" w:rsidRPr="0067124A" w:rsidRDefault="008F4218" w:rsidP="00505B10">
            <w:pPr>
              <w:jc w:val="right"/>
            </w:pPr>
            <w:r w:rsidRPr="0067124A">
              <w:t>3150316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8F4218" w:rsidRPr="0067124A" w:rsidRDefault="008F4218" w:rsidP="00505B10">
            <w:pPr>
              <w:jc w:val="right"/>
            </w:pPr>
            <w:r w:rsidRPr="0067124A">
              <w:t>3706537</w:t>
            </w:r>
          </w:p>
        </w:tc>
        <w:tc>
          <w:tcPr>
            <w:tcW w:w="1184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F4218" w:rsidRPr="0067124A" w:rsidRDefault="008F4218" w:rsidP="00505B10">
            <w:pPr>
              <w:jc w:val="center"/>
            </w:pPr>
            <w:r w:rsidRPr="0067124A">
              <w:t>+37,61</w:t>
            </w:r>
          </w:p>
        </w:tc>
      </w:tr>
      <w:tr w:rsidR="008F4218" w:rsidRPr="0067124A" w:rsidTr="00414D1C">
        <w:trPr>
          <w:trHeight w:val="384"/>
          <w:jc w:val="center"/>
        </w:trPr>
        <w:tc>
          <w:tcPr>
            <w:tcW w:w="2118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F4218" w:rsidRPr="0067124A" w:rsidRDefault="008F4218" w:rsidP="00505B10">
            <w:pPr>
              <w:pStyle w:val="a4"/>
              <w:spacing w:after="0"/>
              <w:ind w:left="48" w:right="36" w:firstLine="36"/>
              <w:rPr>
                <w:rFonts w:eastAsiaTheme="minorEastAsia"/>
              </w:rPr>
            </w:pPr>
            <w:r w:rsidRPr="0067124A">
              <w:rPr>
                <w:rFonts w:eastAsiaTheme="minorEastAsia"/>
              </w:rPr>
              <w:t>Краткосрочные обязательства, тыс. руб.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8F4218" w:rsidRPr="0067124A" w:rsidRDefault="008F4218" w:rsidP="00505B10">
            <w:pPr>
              <w:jc w:val="right"/>
            </w:pPr>
            <w:r w:rsidRPr="0067124A">
              <w:t>745888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8F4218" w:rsidRPr="0067124A" w:rsidRDefault="008F4218" w:rsidP="00505B10">
            <w:pPr>
              <w:jc w:val="right"/>
            </w:pPr>
            <w:r w:rsidRPr="0067124A">
              <w:t>810225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8F4218" w:rsidRPr="0067124A" w:rsidRDefault="008F4218" w:rsidP="00505B10">
            <w:pPr>
              <w:jc w:val="right"/>
            </w:pPr>
            <w:r w:rsidRPr="0067124A">
              <w:t>1318653</w:t>
            </w:r>
          </w:p>
        </w:tc>
        <w:tc>
          <w:tcPr>
            <w:tcW w:w="1184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F4218" w:rsidRPr="0067124A" w:rsidRDefault="008F4218" w:rsidP="00505B10">
            <w:pPr>
              <w:jc w:val="center"/>
            </w:pPr>
            <w:r w:rsidRPr="0067124A">
              <w:t>+76,78</w:t>
            </w:r>
          </w:p>
        </w:tc>
      </w:tr>
      <w:tr w:rsidR="008F4218" w:rsidRPr="0067124A" w:rsidTr="00414D1C">
        <w:trPr>
          <w:trHeight w:val="84"/>
          <w:jc w:val="center"/>
        </w:trPr>
        <w:tc>
          <w:tcPr>
            <w:tcW w:w="2118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F4218" w:rsidRPr="0067124A" w:rsidRDefault="008F4218" w:rsidP="00505B10">
            <w:pPr>
              <w:pStyle w:val="a4"/>
              <w:spacing w:after="0"/>
              <w:ind w:left="48" w:right="36" w:firstLine="36"/>
              <w:rPr>
                <w:rFonts w:eastAsiaTheme="minorEastAsia"/>
              </w:rPr>
            </w:pPr>
            <w:r w:rsidRPr="0067124A">
              <w:rPr>
                <w:rFonts w:eastAsiaTheme="minorEastAsia"/>
              </w:rPr>
              <w:t>Долгосрочные обязательства, тыс. руб.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8F4218" w:rsidRPr="0067124A" w:rsidRDefault="008F4218" w:rsidP="00505B10">
            <w:pPr>
              <w:jc w:val="right"/>
            </w:pPr>
            <w:r w:rsidRPr="0067124A">
              <w:t>2790497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8F4218" w:rsidRPr="0067124A" w:rsidRDefault="008F4218" w:rsidP="00505B10">
            <w:pPr>
              <w:jc w:val="right"/>
            </w:pPr>
            <w:r w:rsidRPr="0067124A">
              <w:t>3627516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8F4218" w:rsidRPr="0067124A" w:rsidRDefault="008F4218" w:rsidP="00505B10">
            <w:pPr>
              <w:jc w:val="right"/>
            </w:pPr>
            <w:r w:rsidRPr="0067124A">
              <w:t>5595477</w:t>
            </w:r>
          </w:p>
        </w:tc>
        <w:tc>
          <w:tcPr>
            <w:tcW w:w="1184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F4218" w:rsidRPr="0067124A" w:rsidRDefault="008F4218" w:rsidP="00505B10">
            <w:pPr>
              <w:jc w:val="center"/>
            </w:pPr>
            <w:r w:rsidRPr="0067124A">
              <w:t>+100,51</w:t>
            </w:r>
          </w:p>
        </w:tc>
      </w:tr>
      <w:tr w:rsidR="008F4218" w:rsidRPr="0067124A" w:rsidTr="00414D1C">
        <w:trPr>
          <w:jc w:val="center"/>
        </w:trPr>
        <w:tc>
          <w:tcPr>
            <w:tcW w:w="2118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F4218" w:rsidRPr="0067124A" w:rsidRDefault="008F4218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Дебиторская задолженность, тыс. руб.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8F4218" w:rsidRPr="0067124A" w:rsidRDefault="008F4218" w:rsidP="00505B10">
            <w:pPr>
              <w:jc w:val="right"/>
            </w:pPr>
            <w:r w:rsidRPr="0067124A">
              <w:t>1049091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8F4218" w:rsidRPr="0067124A" w:rsidRDefault="008F4218" w:rsidP="00505B10">
            <w:pPr>
              <w:jc w:val="right"/>
            </w:pPr>
            <w:r w:rsidRPr="0067124A">
              <w:t>1705849</w:t>
            </w: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8F4218" w:rsidRPr="0067124A" w:rsidRDefault="008F4218" w:rsidP="00505B10">
            <w:pPr>
              <w:jc w:val="right"/>
            </w:pPr>
            <w:r w:rsidRPr="0067124A">
              <w:t>1928033</w:t>
            </w:r>
          </w:p>
        </w:tc>
        <w:tc>
          <w:tcPr>
            <w:tcW w:w="1184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F4218" w:rsidRPr="0067124A" w:rsidRDefault="008F4218" w:rsidP="00505B10">
            <w:pPr>
              <w:jc w:val="center"/>
            </w:pPr>
            <w:r w:rsidRPr="0067124A">
              <w:t>+83,78</w:t>
            </w:r>
          </w:p>
        </w:tc>
      </w:tr>
    </w:tbl>
    <w:p w:rsidR="0067124A" w:rsidRDefault="0067124A" w:rsidP="00414D1C">
      <w:pPr>
        <w:jc w:val="center"/>
        <w:rPr>
          <w:bCs/>
        </w:rPr>
      </w:pPr>
    </w:p>
    <w:p w:rsidR="00414D1C" w:rsidRPr="00D3442C" w:rsidRDefault="00414D1C" w:rsidP="00414D1C">
      <w:pPr>
        <w:jc w:val="center"/>
        <w:rPr>
          <w:bCs/>
          <w:sz w:val="28"/>
          <w:szCs w:val="28"/>
        </w:rPr>
      </w:pPr>
      <w:r w:rsidRPr="00D3442C">
        <w:rPr>
          <w:bCs/>
          <w:sz w:val="28"/>
          <w:szCs w:val="28"/>
        </w:rPr>
        <w:t>Таблица 2.4- Показатели управления дебиторской и кредиторской задолженностью</w:t>
      </w:r>
      <w:r w:rsidR="00FC5143" w:rsidRPr="00D3442C">
        <w:rPr>
          <w:sz w:val="28"/>
          <w:szCs w:val="28"/>
        </w:rPr>
        <w:t xml:space="preserve"> АО «ПАО «МАССАНДРА» с 2021-2023гг.</w:t>
      </w:r>
    </w:p>
    <w:p w:rsidR="0067124A" w:rsidRPr="0067124A" w:rsidRDefault="0067124A" w:rsidP="00414D1C">
      <w:pPr>
        <w:jc w:val="center"/>
        <w:rPr>
          <w:bCs/>
        </w:rPr>
      </w:pPr>
    </w:p>
    <w:tbl>
      <w:tblPr>
        <w:tblW w:w="48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08"/>
        <w:gridCol w:w="1242"/>
        <w:gridCol w:w="968"/>
        <w:gridCol w:w="1030"/>
        <w:gridCol w:w="894"/>
      </w:tblGrid>
      <w:tr w:rsidR="00414D1C" w:rsidRPr="0067124A" w:rsidTr="00414D1C">
        <w:trPr>
          <w:tblHeader/>
          <w:jc w:val="center"/>
        </w:trPr>
        <w:tc>
          <w:tcPr>
            <w:tcW w:w="5208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D1C" w:rsidRPr="0067124A" w:rsidRDefault="00414D1C" w:rsidP="00505B10">
            <w:pPr>
              <w:jc w:val="center"/>
            </w:pPr>
            <w:r w:rsidRPr="0067124A">
              <w:t>Наименование показателя</w:t>
            </w:r>
          </w:p>
        </w:tc>
        <w:tc>
          <w:tcPr>
            <w:tcW w:w="1242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D1C" w:rsidRPr="0067124A" w:rsidRDefault="00414D1C" w:rsidP="00505B10">
            <w:pPr>
              <w:jc w:val="center"/>
            </w:pPr>
            <w:r w:rsidRPr="0067124A">
              <w:t>за 2021</w:t>
            </w:r>
          </w:p>
        </w:tc>
        <w:tc>
          <w:tcPr>
            <w:tcW w:w="968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D1C" w:rsidRPr="0067124A" w:rsidRDefault="00414D1C" w:rsidP="00505B10">
            <w:pPr>
              <w:jc w:val="center"/>
            </w:pPr>
            <w:r w:rsidRPr="0067124A">
              <w:t>за 2022</w:t>
            </w:r>
          </w:p>
        </w:tc>
        <w:tc>
          <w:tcPr>
            <w:tcW w:w="103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D1C" w:rsidRPr="0067124A" w:rsidRDefault="00414D1C" w:rsidP="00505B10">
            <w:pPr>
              <w:jc w:val="center"/>
            </w:pPr>
            <w:r w:rsidRPr="0067124A">
              <w:t>за 2023</w:t>
            </w:r>
          </w:p>
        </w:tc>
        <w:tc>
          <w:tcPr>
            <w:tcW w:w="894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D1C" w:rsidRPr="0067124A" w:rsidRDefault="00414D1C" w:rsidP="00505B10">
            <w:pPr>
              <w:jc w:val="center"/>
            </w:pPr>
            <w:r w:rsidRPr="0067124A">
              <w:t xml:space="preserve">Изменение </w:t>
            </w:r>
            <w:r w:rsidRPr="0067124A">
              <w:br/>
              <w:t>2023</w:t>
            </w:r>
            <w:r w:rsidRPr="0067124A">
              <w:br/>
              <w:t xml:space="preserve">от </w:t>
            </w:r>
            <w:r w:rsidRPr="0067124A">
              <w:br/>
              <w:t>2021</w:t>
            </w:r>
          </w:p>
        </w:tc>
      </w:tr>
      <w:tr w:rsidR="00414D1C" w:rsidRPr="0067124A" w:rsidTr="00414D1C">
        <w:trPr>
          <w:jc w:val="center"/>
        </w:trPr>
        <w:tc>
          <w:tcPr>
            <w:tcW w:w="5208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Коэффициент оборачиваемости средств в расчетах (Д19)</w:t>
            </w:r>
          </w:p>
        </w:tc>
        <w:tc>
          <w:tcPr>
            <w:tcW w:w="1242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3.69</w:t>
            </w:r>
          </w:p>
        </w:tc>
        <w:tc>
          <w:tcPr>
            <w:tcW w:w="968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2.642</w:t>
            </w:r>
          </w:p>
        </w:tc>
        <w:tc>
          <w:tcPr>
            <w:tcW w:w="103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1.547</w:t>
            </w:r>
          </w:p>
        </w:tc>
        <w:tc>
          <w:tcPr>
            <w:tcW w:w="89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-2.143</w:t>
            </w:r>
          </w:p>
        </w:tc>
      </w:tr>
      <w:tr w:rsidR="00414D1C" w:rsidRPr="0067124A" w:rsidTr="00414D1C">
        <w:trPr>
          <w:jc w:val="center"/>
        </w:trPr>
        <w:tc>
          <w:tcPr>
            <w:tcW w:w="5208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Срок оборачиваемости средств в расчетах, дни (Д22)</w:t>
            </w:r>
          </w:p>
        </w:tc>
        <w:tc>
          <w:tcPr>
            <w:tcW w:w="1242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99</w:t>
            </w:r>
          </w:p>
        </w:tc>
        <w:tc>
          <w:tcPr>
            <w:tcW w:w="968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138</w:t>
            </w:r>
          </w:p>
        </w:tc>
        <w:tc>
          <w:tcPr>
            <w:tcW w:w="103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236</w:t>
            </w:r>
          </w:p>
        </w:tc>
        <w:tc>
          <w:tcPr>
            <w:tcW w:w="89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137</w:t>
            </w:r>
          </w:p>
        </w:tc>
      </w:tr>
      <w:tr w:rsidR="00414D1C" w:rsidRPr="0067124A" w:rsidTr="00414D1C">
        <w:trPr>
          <w:jc w:val="center"/>
        </w:trPr>
        <w:tc>
          <w:tcPr>
            <w:tcW w:w="5208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Оборачиваемость кредиторской задолженности, обороты (Д25)</w:t>
            </w:r>
          </w:p>
        </w:tc>
        <w:tc>
          <w:tcPr>
            <w:tcW w:w="1242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11.167</w:t>
            </w:r>
          </w:p>
        </w:tc>
        <w:tc>
          <w:tcPr>
            <w:tcW w:w="968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14.469</w:t>
            </w:r>
          </w:p>
        </w:tc>
        <w:tc>
          <w:tcPr>
            <w:tcW w:w="103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10.768</w:t>
            </w:r>
          </w:p>
        </w:tc>
        <w:tc>
          <w:tcPr>
            <w:tcW w:w="89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-0.399</w:t>
            </w:r>
          </w:p>
        </w:tc>
      </w:tr>
      <w:tr w:rsidR="00414D1C" w:rsidRPr="0067124A" w:rsidTr="00414D1C">
        <w:trPr>
          <w:jc w:val="center"/>
        </w:trPr>
        <w:tc>
          <w:tcPr>
            <w:tcW w:w="5208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Период погашения кредиторской задолженности, дни (Д26)</w:t>
            </w:r>
          </w:p>
        </w:tc>
        <w:tc>
          <w:tcPr>
            <w:tcW w:w="1242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33</w:t>
            </w:r>
          </w:p>
        </w:tc>
        <w:tc>
          <w:tcPr>
            <w:tcW w:w="968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25</w:t>
            </w:r>
          </w:p>
        </w:tc>
        <w:tc>
          <w:tcPr>
            <w:tcW w:w="103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34</w:t>
            </w:r>
          </w:p>
        </w:tc>
        <w:tc>
          <w:tcPr>
            <w:tcW w:w="89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</w:t>
            </w:r>
          </w:p>
        </w:tc>
      </w:tr>
      <w:tr w:rsidR="00414D1C" w:rsidRPr="0067124A" w:rsidTr="00414D1C">
        <w:trPr>
          <w:jc w:val="center"/>
        </w:trPr>
        <w:tc>
          <w:tcPr>
            <w:tcW w:w="5208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Соотношение дебиторской и кредиторской задолженности (Д27)</w:t>
            </w:r>
          </w:p>
        </w:tc>
        <w:tc>
          <w:tcPr>
            <w:tcW w:w="1242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3.026</w:t>
            </w:r>
          </w:p>
        </w:tc>
        <w:tc>
          <w:tcPr>
            <w:tcW w:w="968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5.476</w:t>
            </w:r>
          </w:p>
        </w:tc>
        <w:tc>
          <w:tcPr>
            <w:tcW w:w="103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6.962</w:t>
            </w:r>
          </w:p>
        </w:tc>
        <w:tc>
          <w:tcPr>
            <w:tcW w:w="89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3.936</w:t>
            </w:r>
          </w:p>
        </w:tc>
      </w:tr>
      <w:tr w:rsidR="00414D1C" w:rsidRPr="0067124A" w:rsidTr="00414D1C">
        <w:trPr>
          <w:jc w:val="center"/>
        </w:trPr>
        <w:tc>
          <w:tcPr>
            <w:tcW w:w="5208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Коэффициент оборачиваемости денежных средств (Д28)</w:t>
            </w:r>
          </w:p>
        </w:tc>
        <w:tc>
          <w:tcPr>
            <w:tcW w:w="1242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93.752</w:t>
            </w:r>
          </w:p>
        </w:tc>
        <w:tc>
          <w:tcPr>
            <w:tcW w:w="968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62.587</w:t>
            </w:r>
          </w:p>
        </w:tc>
        <w:tc>
          <w:tcPr>
            <w:tcW w:w="103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17.842</w:t>
            </w:r>
          </w:p>
        </w:tc>
        <w:tc>
          <w:tcPr>
            <w:tcW w:w="89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-75.91</w:t>
            </w:r>
          </w:p>
        </w:tc>
      </w:tr>
    </w:tbl>
    <w:p w:rsidR="0067124A" w:rsidRDefault="0067124A" w:rsidP="00414D1C">
      <w:pPr>
        <w:jc w:val="center"/>
        <w:rPr>
          <w:bCs/>
        </w:rPr>
      </w:pPr>
    </w:p>
    <w:p w:rsidR="0067124A" w:rsidRDefault="0067124A" w:rsidP="00414D1C">
      <w:pPr>
        <w:jc w:val="center"/>
        <w:rPr>
          <w:bCs/>
        </w:rPr>
      </w:pPr>
    </w:p>
    <w:p w:rsidR="0067124A" w:rsidRDefault="0067124A" w:rsidP="00414D1C">
      <w:pPr>
        <w:jc w:val="center"/>
        <w:rPr>
          <w:bCs/>
        </w:rPr>
      </w:pPr>
    </w:p>
    <w:p w:rsidR="00B03A85" w:rsidRPr="00161809" w:rsidRDefault="00B03A85" w:rsidP="00B03A85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161809">
        <w:rPr>
          <w:sz w:val="28"/>
          <w:szCs w:val="28"/>
        </w:rPr>
        <w:t>Коэффициент оборачиваемости средств в расчетах (Д19) характеризует расширение или снижение коммерческого кредита, предоставляемого орган</w:t>
      </w:r>
      <w:r w:rsidRPr="00161809">
        <w:rPr>
          <w:sz w:val="28"/>
          <w:szCs w:val="28"/>
        </w:rPr>
        <w:t>и</w:t>
      </w:r>
      <w:r w:rsidRPr="00161809">
        <w:rPr>
          <w:sz w:val="28"/>
          <w:szCs w:val="28"/>
        </w:rPr>
        <w:t>зацией, а срок оборачиваемости средств в расчетах показывает средний срок погашения дебиторской задолженности. Увеличение срока расчетов с покуп</w:t>
      </w:r>
      <w:r w:rsidRPr="00161809">
        <w:rPr>
          <w:sz w:val="28"/>
          <w:szCs w:val="28"/>
        </w:rPr>
        <w:t>а</w:t>
      </w:r>
      <w:r w:rsidRPr="00161809">
        <w:rPr>
          <w:sz w:val="28"/>
          <w:szCs w:val="28"/>
        </w:rPr>
        <w:t xml:space="preserve">телями на 137 дн. привело к привлечению в оборот </w:t>
      </w:r>
      <w:r w:rsidRPr="00161809">
        <w:rPr>
          <w:sz w:val="28"/>
          <w:szCs w:val="28"/>
        </w:rPr>
        <w:lastRenderedPageBreak/>
        <w:t>дополнительные свободных денежных средств в результате оттока денежных средств за счет замедления оборачиваемости дебиторской задолженности на -2.143 оборота.</w:t>
      </w:r>
    </w:p>
    <w:p w:rsidR="00B03A85" w:rsidRPr="00161809" w:rsidRDefault="00B03A85" w:rsidP="00B03A85">
      <w:pPr>
        <w:spacing w:line="360" w:lineRule="auto"/>
        <w:ind w:firstLine="709"/>
        <w:jc w:val="both"/>
        <w:rPr>
          <w:sz w:val="28"/>
          <w:szCs w:val="28"/>
        </w:rPr>
      </w:pPr>
      <w:r w:rsidRPr="00161809">
        <w:rPr>
          <w:sz w:val="28"/>
          <w:szCs w:val="28"/>
        </w:rPr>
        <w:t>Коэффициент оборачиваемости кредиторской задолженности (Д25) отр</w:t>
      </w:r>
      <w:r w:rsidRPr="00161809">
        <w:rPr>
          <w:sz w:val="28"/>
          <w:szCs w:val="28"/>
        </w:rPr>
        <w:t>а</w:t>
      </w:r>
      <w:r w:rsidRPr="00161809">
        <w:rPr>
          <w:sz w:val="28"/>
          <w:szCs w:val="28"/>
        </w:rPr>
        <w:t>жает расширение или снижение коммерческого кредита, предоставляемого о</w:t>
      </w:r>
      <w:r w:rsidRPr="00161809">
        <w:rPr>
          <w:sz w:val="28"/>
          <w:szCs w:val="28"/>
        </w:rPr>
        <w:t>р</w:t>
      </w:r>
      <w:r w:rsidRPr="00161809">
        <w:rPr>
          <w:sz w:val="28"/>
          <w:szCs w:val="28"/>
        </w:rPr>
        <w:t>ганизации, а срок оборачиваемости кредиторской задолженности показывает средний срок возврата долгов организацией по текущим обязательствам. Д</w:t>
      </w:r>
      <w:r w:rsidRPr="00161809">
        <w:rPr>
          <w:sz w:val="28"/>
          <w:szCs w:val="28"/>
        </w:rPr>
        <w:t>о</w:t>
      </w:r>
      <w:r w:rsidRPr="00161809">
        <w:rPr>
          <w:sz w:val="28"/>
          <w:szCs w:val="28"/>
        </w:rPr>
        <w:t>полнительный приток денежных средств организации возник в связи с увел</w:t>
      </w:r>
      <w:r w:rsidRPr="00161809">
        <w:rPr>
          <w:sz w:val="28"/>
          <w:szCs w:val="28"/>
        </w:rPr>
        <w:t>и</w:t>
      </w:r>
      <w:r w:rsidRPr="00161809">
        <w:rPr>
          <w:sz w:val="28"/>
          <w:szCs w:val="28"/>
        </w:rPr>
        <w:t>чением срока погашения кредиторской задолженности на 1 дн. Это говорит о расширении объема финансирования, связанного с ростом срока кредитования, что и изменяет величину притока денежных средств. Данная ситуация может привести к ложному увеличению платежеспособности и ликвидности организ</w:t>
      </w:r>
      <w:r w:rsidRPr="00161809">
        <w:rPr>
          <w:sz w:val="28"/>
          <w:szCs w:val="28"/>
        </w:rPr>
        <w:t>а</w:t>
      </w:r>
      <w:r w:rsidRPr="00161809">
        <w:rPr>
          <w:sz w:val="28"/>
          <w:szCs w:val="28"/>
        </w:rPr>
        <w:t>ции. В течение всего анализируемого периода максимальный срок погашения кредиторской задолженности 34 дн. составил за 2023 г., а минимальный 25 дн. - за 2022 г.</w:t>
      </w:r>
    </w:p>
    <w:p w:rsidR="00B03A85" w:rsidRPr="00161809" w:rsidRDefault="00B03A85" w:rsidP="00B03A85">
      <w:pPr>
        <w:spacing w:line="360" w:lineRule="auto"/>
        <w:ind w:firstLine="709"/>
        <w:jc w:val="both"/>
        <w:rPr>
          <w:sz w:val="28"/>
          <w:szCs w:val="28"/>
        </w:rPr>
      </w:pPr>
      <w:r w:rsidRPr="00161809">
        <w:rPr>
          <w:sz w:val="28"/>
          <w:szCs w:val="28"/>
        </w:rPr>
        <w:t>Соотношение дебиторской и кредиторской задолженности (Д27) - пок</w:t>
      </w:r>
      <w:r w:rsidRPr="00161809">
        <w:rPr>
          <w:sz w:val="28"/>
          <w:szCs w:val="28"/>
        </w:rPr>
        <w:t>а</w:t>
      </w:r>
      <w:r w:rsidRPr="00161809">
        <w:rPr>
          <w:sz w:val="28"/>
          <w:szCs w:val="28"/>
        </w:rPr>
        <w:t>зывает сколько дебиторской задолженности приходится на каждый рубль кр</w:t>
      </w:r>
      <w:r w:rsidRPr="00161809">
        <w:rPr>
          <w:sz w:val="28"/>
          <w:szCs w:val="28"/>
        </w:rPr>
        <w:t>е</w:t>
      </w:r>
      <w:r w:rsidRPr="00161809">
        <w:rPr>
          <w:sz w:val="28"/>
          <w:szCs w:val="28"/>
        </w:rPr>
        <w:t>диторской задолженности, ее величина за 2023 г. равна 6.962, таким образом дебиторская задолженность превышает кредиторскую на 596.2 %. В течение всего анализируемого периода максимального значения 6.962 показатель до</w:t>
      </w:r>
      <w:r w:rsidRPr="00161809">
        <w:rPr>
          <w:sz w:val="28"/>
          <w:szCs w:val="28"/>
        </w:rPr>
        <w:t>с</w:t>
      </w:r>
      <w:r w:rsidRPr="00161809">
        <w:rPr>
          <w:sz w:val="28"/>
          <w:szCs w:val="28"/>
        </w:rPr>
        <w:t>тигал за 2023 г., а минимального 3.026 - за 2021 г.</w:t>
      </w:r>
    </w:p>
    <w:p w:rsidR="00B03A85" w:rsidRPr="00161809" w:rsidRDefault="00B03A85" w:rsidP="00B03A85">
      <w:pPr>
        <w:spacing w:line="360" w:lineRule="auto"/>
        <w:ind w:firstLine="709"/>
        <w:jc w:val="both"/>
        <w:rPr>
          <w:sz w:val="28"/>
          <w:szCs w:val="28"/>
        </w:rPr>
      </w:pPr>
      <w:r w:rsidRPr="00161809">
        <w:rPr>
          <w:sz w:val="28"/>
          <w:szCs w:val="28"/>
        </w:rPr>
        <w:t>Коэффициент оборачиваемости денежных средств (Д28) показывает ск</w:t>
      </w:r>
      <w:r w:rsidRPr="00161809">
        <w:rPr>
          <w:sz w:val="28"/>
          <w:szCs w:val="28"/>
        </w:rPr>
        <w:t>о</w:t>
      </w:r>
      <w:r w:rsidRPr="00161809">
        <w:rPr>
          <w:sz w:val="28"/>
          <w:szCs w:val="28"/>
        </w:rPr>
        <w:t>рость оборота денежных средств организации. Скорость оборота денежных средств за анализируемый период снизилась на 75.91 до 17.842 оборота в год за счет роста балансовых остатков денежных средств и уменьшения суммы в</w:t>
      </w:r>
      <w:r w:rsidRPr="00161809">
        <w:rPr>
          <w:sz w:val="28"/>
          <w:szCs w:val="28"/>
        </w:rPr>
        <w:t>ы</w:t>
      </w:r>
      <w:r w:rsidRPr="00161809">
        <w:rPr>
          <w:sz w:val="28"/>
          <w:szCs w:val="28"/>
        </w:rPr>
        <w:t>ручки от реализации.</w:t>
      </w:r>
    </w:p>
    <w:p w:rsidR="0067124A" w:rsidRDefault="0067124A" w:rsidP="00414D1C">
      <w:pPr>
        <w:jc w:val="center"/>
        <w:rPr>
          <w:bCs/>
        </w:rPr>
      </w:pPr>
    </w:p>
    <w:p w:rsidR="0067124A" w:rsidRDefault="0067124A" w:rsidP="00414D1C">
      <w:pPr>
        <w:jc w:val="center"/>
        <w:rPr>
          <w:bCs/>
        </w:rPr>
      </w:pPr>
    </w:p>
    <w:p w:rsidR="0067124A" w:rsidRDefault="0067124A" w:rsidP="00414D1C">
      <w:pPr>
        <w:jc w:val="center"/>
        <w:rPr>
          <w:bCs/>
        </w:rPr>
      </w:pPr>
    </w:p>
    <w:p w:rsidR="0067124A" w:rsidRDefault="0067124A" w:rsidP="00414D1C">
      <w:pPr>
        <w:jc w:val="center"/>
        <w:rPr>
          <w:bCs/>
        </w:rPr>
      </w:pPr>
    </w:p>
    <w:p w:rsidR="0067124A" w:rsidRDefault="0067124A" w:rsidP="00414D1C">
      <w:pPr>
        <w:jc w:val="center"/>
        <w:rPr>
          <w:bCs/>
        </w:rPr>
      </w:pPr>
    </w:p>
    <w:p w:rsidR="0067124A" w:rsidRDefault="0067124A" w:rsidP="00414D1C">
      <w:pPr>
        <w:jc w:val="center"/>
        <w:rPr>
          <w:bCs/>
        </w:rPr>
      </w:pPr>
    </w:p>
    <w:p w:rsidR="00414D1C" w:rsidRPr="00D3442C" w:rsidRDefault="00414D1C" w:rsidP="00414D1C">
      <w:pPr>
        <w:jc w:val="center"/>
        <w:rPr>
          <w:bCs/>
          <w:sz w:val="28"/>
          <w:szCs w:val="28"/>
        </w:rPr>
      </w:pPr>
      <w:r w:rsidRPr="00D3442C">
        <w:rPr>
          <w:bCs/>
          <w:sz w:val="28"/>
          <w:szCs w:val="28"/>
        </w:rPr>
        <w:lastRenderedPageBreak/>
        <w:t>Таблица 2.5-Показатели управления материальными запасами</w:t>
      </w:r>
      <w:r w:rsidR="00FC5143" w:rsidRPr="00D3442C">
        <w:rPr>
          <w:sz w:val="28"/>
          <w:szCs w:val="28"/>
        </w:rPr>
        <w:t xml:space="preserve"> АО «ПАО «МАССАНДРА» с 2021-2023гг.</w:t>
      </w:r>
    </w:p>
    <w:tbl>
      <w:tblPr>
        <w:tblW w:w="48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333"/>
        <w:gridCol w:w="705"/>
        <w:gridCol w:w="705"/>
        <w:gridCol w:w="705"/>
        <w:gridCol w:w="894"/>
      </w:tblGrid>
      <w:tr w:rsidR="00414D1C" w:rsidRPr="0067124A" w:rsidTr="00505B10">
        <w:trPr>
          <w:tblHeader/>
          <w:jc w:val="center"/>
        </w:trPr>
        <w:tc>
          <w:tcPr>
            <w:tcW w:w="65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D1C" w:rsidRPr="0067124A" w:rsidRDefault="00414D1C" w:rsidP="00505B10">
            <w:pPr>
              <w:jc w:val="center"/>
            </w:pPr>
            <w:r w:rsidRPr="0067124A">
              <w:t>Наименование показателя</w:t>
            </w:r>
          </w:p>
        </w:tc>
        <w:tc>
          <w:tcPr>
            <w:tcW w:w="7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D1C" w:rsidRPr="0067124A" w:rsidRDefault="00414D1C" w:rsidP="00505B10">
            <w:pPr>
              <w:jc w:val="center"/>
            </w:pPr>
            <w:r w:rsidRPr="0067124A">
              <w:t>за 2021</w:t>
            </w:r>
          </w:p>
        </w:tc>
        <w:tc>
          <w:tcPr>
            <w:tcW w:w="7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D1C" w:rsidRPr="0067124A" w:rsidRDefault="00414D1C" w:rsidP="00505B10">
            <w:pPr>
              <w:jc w:val="center"/>
            </w:pPr>
            <w:r w:rsidRPr="0067124A">
              <w:t>за 2022</w:t>
            </w:r>
          </w:p>
        </w:tc>
        <w:tc>
          <w:tcPr>
            <w:tcW w:w="7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D1C" w:rsidRPr="0067124A" w:rsidRDefault="00414D1C" w:rsidP="00505B10">
            <w:pPr>
              <w:jc w:val="center"/>
            </w:pPr>
            <w:r w:rsidRPr="0067124A">
              <w:t>за 2023</w:t>
            </w:r>
          </w:p>
        </w:tc>
        <w:tc>
          <w:tcPr>
            <w:tcW w:w="9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D1C" w:rsidRPr="0067124A" w:rsidRDefault="00414D1C" w:rsidP="00505B10">
            <w:pPr>
              <w:jc w:val="center"/>
            </w:pPr>
            <w:r w:rsidRPr="0067124A">
              <w:t xml:space="preserve">Изменение </w:t>
            </w:r>
            <w:r w:rsidRPr="0067124A">
              <w:br/>
              <w:t>2023</w:t>
            </w:r>
            <w:r w:rsidRPr="0067124A">
              <w:br/>
              <w:t xml:space="preserve">от </w:t>
            </w:r>
            <w:r w:rsidRPr="0067124A">
              <w:br/>
              <w:t>2021</w:t>
            </w:r>
          </w:p>
        </w:tc>
      </w:tr>
      <w:tr w:rsidR="00414D1C" w:rsidRPr="0067124A" w:rsidTr="00505B10">
        <w:trPr>
          <w:jc w:val="center"/>
        </w:trPr>
        <w:tc>
          <w:tcPr>
            <w:tcW w:w="654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Коэффициент оборачиваемости материальных средств (Д9)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0.704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0.661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0.538</w:t>
            </w:r>
          </w:p>
        </w:tc>
        <w:tc>
          <w:tcPr>
            <w:tcW w:w="916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-0.166</w:t>
            </w:r>
          </w:p>
        </w:tc>
      </w:tr>
      <w:tr w:rsidR="00414D1C" w:rsidRPr="0067124A" w:rsidTr="00505B10">
        <w:trPr>
          <w:jc w:val="center"/>
        </w:trPr>
        <w:tc>
          <w:tcPr>
            <w:tcW w:w="654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Продолжительность оборота (срок хранения) запасов, дни (Д12)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519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552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678</w:t>
            </w:r>
          </w:p>
        </w:tc>
        <w:tc>
          <w:tcPr>
            <w:tcW w:w="916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159</w:t>
            </w:r>
          </w:p>
        </w:tc>
      </w:tr>
      <w:tr w:rsidR="00414D1C" w:rsidRPr="0067124A" w:rsidTr="00505B10">
        <w:trPr>
          <w:jc w:val="center"/>
        </w:trPr>
        <w:tc>
          <w:tcPr>
            <w:tcW w:w="654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Доля запасов в общей величине оборотных активов (Д15)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0.747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0.663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0.632</w:t>
            </w:r>
          </w:p>
        </w:tc>
        <w:tc>
          <w:tcPr>
            <w:tcW w:w="916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-0.115</w:t>
            </w:r>
          </w:p>
        </w:tc>
      </w:tr>
    </w:tbl>
    <w:p w:rsidR="006E6B14" w:rsidRDefault="006E6B14" w:rsidP="00414D1C">
      <w:pPr>
        <w:jc w:val="center"/>
        <w:rPr>
          <w:bCs/>
        </w:rPr>
      </w:pPr>
    </w:p>
    <w:p w:rsidR="006E6B14" w:rsidRPr="00161809" w:rsidRDefault="006E6B14" w:rsidP="006E6B14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161809">
        <w:rPr>
          <w:sz w:val="28"/>
          <w:szCs w:val="28"/>
        </w:rPr>
        <w:t>Коэффициент оборачиваемости материальных средств (Д9) показывает число оборотов запасов и затрат за анализируемый период, либо число обор</w:t>
      </w:r>
      <w:r w:rsidRPr="00161809">
        <w:rPr>
          <w:sz w:val="28"/>
          <w:szCs w:val="28"/>
        </w:rPr>
        <w:t>о</w:t>
      </w:r>
      <w:r w:rsidRPr="00161809">
        <w:rPr>
          <w:sz w:val="28"/>
          <w:szCs w:val="28"/>
        </w:rPr>
        <w:t>тов основных составляющих запасов и затрат. Себестоимость проданной пр</w:t>
      </w:r>
      <w:r w:rsidRPr="00161809">
        <w:rPr>
          <w:sz w:val="28"/>
          <w:szCs w:val="28"/>
        </w:rPr>
        <w:t>о</w:t>
      </w:r>
      <w:r w:rsidRPr="00161809">
        <w:rPr>
          <w:sz w:val="28"/>
          <w:szCs w:val="28"/>
        </w:rPr>
        <w:t>дукции (товаров, работ, услуг), приходящаяся на один рубль материальных з</w:t>
      </w:r>
      <w:r w:rsidRPr="00161809">
        <w:rPr>
          <w:sz w:val="28"/>
          <w:szCs w:val="28"/>
        </w:rPr>
        <w:t>а</w:t>
      </w:r>
      <w:r w:rsidRPr="00161809">
        <w:rPr>
          <w:sz w:val="28"/>
          <w:szCs w:val="28"/>
        </w:rPr>
        <w:t>пасов снизилась на 0,166 руб. и составила 0,538. Срок хранения запасов возрос на 159 дн. Наибольшего значения срок хранения запасов 678 дн. достиг за 2023 г., а наименьшего значения 519 дн. - за 2021 г.</w:t>
      </w:r>
    </w:p>
    <w:p w:rsidR="006E6B14" w:rsidRDefault="006E6B14" w:rsidP="00414D1C">
      <w:pPr>
        <w:jc w:val="center"/>
        <w:rPr>
          <w:bCs/>
        </w:rPr>
      </w:pPr>
    </w:p>
    <w:p w:rsidR="006E6B14" w:rsidRDefault="006E6B14" w:rsidP="00414D1C">
      <w:pPr>
        <w:jc w:val="center"/>
        <w:rPr>
          <w:bCs/>
        </w:rPr>
      </w:pPr>
    </w:p>
    <w:p w:rsidR="006E6B14" w:rsidRDefault="006E6B14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6E6B14" w:rsidRDefault="006E6B14" w:rsidP="00414D1C">
      <w:pPr>
        <w:jc w:val="center"/>
        <w:rPr>
          <w:bCs/>
        </w:rPr>
      </w:pPr>
    </w:p>
    <w:p w:rsidR="00414D1C" w:rsidRPr="00D3442C" w:rsidRDefault="00414D1C" w:rsidP="00414D1C">
      <w:pPr>
        <w:jc w:val="center"/>
        <w:rPr>
          <w:bCs/>
          <w:sz w:val="28"/>
          <w:szCs w:val="28"/>
        </w:rPr>
      </w:pPr>
      <w:r w:rsidRPr="00D3442C">
        <w:rPr>
          <w:bCs/>
          <w:sz w:val="28"/>
          <w:szCs w:val="28"/>
        </w:rPr>
        <w:t>Таблица 2.6-  Количество набранных баллов, характеризующих финансовую устойчивость</w:t>
      </w:r>
      <w:r w:rsidR="00FC5143" w:rsidRPr="00D3442C">
        <w:rPr>
          <w:sz w:val="28"/>
          <w:szCs w:val="28"/>
        </w:rPr>
        <w:t xml:space="preserve"> АО «ПАО «МАССАНДРА» с 2021-2023гг.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20"/>
        <w:gridCol w:w="1387"/>
        <w:gridCol w:w="1320"/>
        <w:gridCol w:w="1522"/>
        <w:gridCol w:w="1243"/>
      </w:tblGrid>
      <w:tr w:rsidR="00414D1C" w:rsidRPr="0067124A" w:rsidTr="00414D1C">
        <w:trPr>
          <w:tblHeader/>
          <w:jc w:val="center"/>
        </w:trPr>
        <w:tc>
          <w:tcPr>
            <w:tcW w:w="2182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D1C" w:rsidRPr="0067124A" w:rsidRDefault="00414D1C" w:rsidP="00505B10">
            <w:pPr>
              <w:jc w:val="center"/>
            </w:pPr>
            <w:r w:rsidRPr="0067124A">
              <w:t>Наименование показателя</w:t>
            </w:r>
          </w:p>
        </w:tc>
        <w:tc>
          <w:tcPr>
            <w:tcW w:w="757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D1C" w:rsidRPr="0067124A" w:rsidRDefault="00414D1C" w:rsidP="00505B10">
            <w:pPr>
              <w:jc w:val="center"/>
            </w:pPr>
            <w:r w:rsidRPr="0067124A">
              <w:t>01.01.2022</w:t>
            </w:r>
          </w:p>
        </w:tc>
        <w:tc>
          <w:tcPr>
            <w:tcW w:w="647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D1C" w:rsidRPr="0067124A" w:rsidRDefault="00414D1C" w:rsidP="00505B10">
            <w:pPr>
              <w:jc w:val="center"/>
            </w:pPr>
            <w:r w:rsidRPr="0067124A">
              <w:t>01.01.2023</w:t>
            </w:r>
          </w:p>
        </w:tc>
        <w:tc>
          <w:tcPr>
            <w:tcW w:w="827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D1C" w:rsidRPr="0067124A" w:rsidRDefault="00414D1C" w:rsidP="00505B10">
            <w:pPr>
              <w:jc w:val="center"/>
            </w:pPr>
            <w:r w:rsidRPr="0067124A">
              <w:t>01.01.2024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414D1C" w:rsidRPr="0067124A" w:rsidRDefault="00414D1C" w:rsidP="00505B10">
            <w:pPr>
              <w:jc w:val="center"/>
            </w:pPr>
            <w:r w:rsidRPr="0067124A">
              <w:t>Отклонение</w:t>
            </w:r>
          </w:p>
        </w:tc>
      </w:tr>
      <w:tr w:rsidR="00414D1C" w:rsidRPr="0067124A" w:rsidTr="00414D1C">
        <w:trPr>
          <w:jc w:val="center"/>
        </w:trPr>
        <w:tc>
          <w:tcPr>
            <w:tcW w:w="2182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1. Коэффициент абсолютной ликвидности (Л2)</w:t>
            </w:r>
          </w:p>
        </w:tc>
        <w:tc>
          <w:tcPr>
            <w:tcW w:w="7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0,076</w:t>
            </w:r>
          </w:p>
        </w:tc>
        <w:tc>
          <w:tcPr>
            <w:tcW w:w="64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0,097</w:t>
            </w:r>
          </w:p>
        </w:tc>
        <w:tc>
          <w:tcPr>
            <w:tcW w:w="82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0,208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414D1C" w:rsidRPr="0067124A" w:rsidRDefault="00414D1C" w:rsidP="00505B10">
            <w:pPr>
              <w:jc w:val="right"/>
            </w:pPr>
            <w:r w:rsidRPr="0067124A">
              <w:t>+0,132</w:t>
            </w:r>
          </w:p>
        </w:tc>
      </w:tr>
      <w:tr w:rsidR="00414D1C" w:rsidRPr="0067124A" w:rsidTr="00414D1C">
        <w:trPr>
          <w:jc w:val="center"/>
        </w:trPr>
        <w:tc>
          <w:tcPr>
            <w:tcW w:w="2182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     баллы</w:t>
            </w:r>
          </w:p>
        </w:tc>
        <w:tc>
          <w:tcPr>
            <w:tcW w:w="7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</w:t>
            </w:r>
          </w:p>
        </w:tc>
        <w:tc>
          <w:tcPr>
            <w:tcW w:w="64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</w:t>
            </w:r>
          </w:p>
        </w:tc>
        <w:tc>
          <w:tcPr>
            <w:tcW w:w="82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8,32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414D1C" w:rsidRPr="0067124A" w:rsidRDefault="00414D1C" w:rsidP="00505B10">
            <w:pPr>
              <w:jc w:val="right"/>
            </w:pPr>
          </w:p>
        </w:tc>
      </w:tr>
      <w:tr w:rsidR="00414D1C" w:rsidRPr="0067124A" w:rsidTr="00414D1C">
        <w:trPr>
          <w:jc w:val="center"/>
        </w:trPr>
        <w:tc>
          <w:tcPr>
            <w:tcW w:w="2182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2. Коэффициент критической оценки (Л3)</w:t>
            </w:r>
          </w:p>
        </w:tc>
        <w:tc>
          <w:tcPr>
            <w:tcW w:w="7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1,751</w:t>
            </w:r>
          </w:p>
        </w:tc>
        <w:tc>
          <w:tcPr>
            <w:tcW w:w="64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2,653</w:t>
            </w:r>
          </w:p>
        </w:tc>
        <w:tc>
          <w:tcPr>
            <w:tcW w:w="82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1,831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414D1C" w:rsidRPr="0067124A" w:rsidRDefault="00414D1C" w:rsidP="00505B10">
            <w:pPr>
              <w:jc w:val="right"/>
            </w:pPr>
            <w:r w:rsidRPr="0067124A">
              <w:t>+0,08</w:t>
            </w:r>
          </w:p>
        </w:tc>
      </w:tr>
      <w:tr w:rsidR="00414D1C" w:rsidRPr="0067124A" w:rsidTr="00414D1C">
        <w:trPr>
          <w:jc w:val="center"/>
        </w:trPr>
        <w:tc>
          <w:tcPr>
            <w:tcW w:w="2182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     баллы</w:t>
            </w:r>
          </w:p>
        </w:tc>
        <w:tc>
          <w:tcPr>
            <w:tcW w:w="7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18</w:t>
            </w:r>
          </w:p>
        </w:tc>
        <w:tc>
          <w:tcPr>
            <w:tcW w:w="64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18</w:t>
            </w:r>
          </w:p>
        </w:tc>
        <w:tc>
          <w:tcPr>
            <w:tcW w:w="82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18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414D1C" w:rsidRPr="0067124A" w:rsidRDefault="00414D1C" w:rsidP="00505B10">
            <w:pPr>
              <w:jc w:val="right"/>
            </w:pPr>
          </w:p>
        </w:tc>
      </w:tr>
      <w:tr w:rsidR="00414D1C" w:rsidRPr="0067124A" w:rsidTr="00414D1C">
        <w:trPr>
          <w:jc w:val="center"/>
        </w:trPr>
        <w:tc>
          <w:tcPr>
            <w:tcW w:w="2182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3. Коэффициент текущей ликвидности (Л4)</w:t>
            </w:r>
          </w:p>
        </w:tc>
        <w:tc>
          <w:tcPr>
            <w:tcW w:w="7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5,817</w:t>
            </w:r>
          </w:p>
        </w:tc>
        <w:tc>
          <w:tcPr>
            <w:tcW w:w="64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7,318</w:t>
            </w:r>
          </w:p>
        </w:tc>
        <w:tc>
          <w:tcPr>
            <w:tcW w:w="82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4,928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414D1C" w:rsidRPr="0067124A" w:rsidRDefault="00414D1C" w:rsidP="00505B10">
            <w:pPr>
              <w:jc w:val="right"/>
            </w:pPr>
            <w:r w:rsidRPr="0067124A">
              <w:t>-0,889</w:t>
            </w:r>
          </w:p>
        </w:tc>
      </w:tr>
      <w:tr w:rsidR="00414D1C" w:rsidRPr="0067124A" w:rsidTr="00414D1C">
        <w:trPr>
          <w:jc w:val="center"/>
        </w:trPr>
        <w:tc>
          <w:tcPr>
            <w:tcW w:w="2182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     баллы</w:t>
            </w:r>
          </w:p>
        </w:tc>
        <w:tc>
          <w:tcPr>
            <w:tcW w:w="7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16,5</w:t>
            </w:r>
          </w:p>
        </w:tc>
        <w:tc>
          <w:tcPr>
            <w:tcW w:w="64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16,5</w:t>
            </w:r>
          </w:p>
        </w:tc>
        <w:tc>
          <w:tcPr>
            <w:tcW w:w="82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16,5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414D1C" w:rsidRPr="0067124A" w:rsidRDefault="00414D1C" w:rsidP="00505B10">
            <w:pPr>
              <w:jc w:val="right"/>
            </w:pPr>
          </w:p>
        </w:tc>
      </w:tr>
      <w:tr w:rsidR="00414D1C" w:rsidRPr="0067124A" w:rsidTr="00414D1C">
        <w:trPr>
          <w:jc w:val="center"/>
        </w:trPr>
        <w:tc>
          <w:tcPr>
            <w:tcW w:w="2182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4. Коэффициент финансовой независимости (У12)</w:t>
            </w:r>
          </w:p>
        </w:tc>
        <w:tc>
          <w:tcPr>
            <w:tcW w:w="7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0,558</w:t>
            </w:r>
          </w:p>
        </w:tc>
        <w:tc>
          <w:tcPr>
            <w:tcW w:w="64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0,547</w:t>
            </w:r>
          </w:p>
        </w:tc>
        <w:tc>
          <w:tcPr>
            <w:tcW w:w="82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0,445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414D1C" w:rsidRPr="0067124A" w:rsidRDefault="00414D1C" w:rsidP="00505B10">
            <w:pPr>
              <w:jc w:val="right"/>
            </w:pPr>
            <w:r w:rsidRPr="0067124A">
              <w:t>-0.113</w:t>
            </w:r>
          </w:p>
        </w:tc>
      </w:tr>
      <w:tr w:rsidR="00414D1C" w:rsidRPr="0067124A" w:rsidTr="00414D1C">
        <w:trPr>
          <w:jc w:val="center"/>
        </w:trPr>
        <w:tc>
          <w:tcPr>
            <w:tcW w:w="2182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     баллы</w:t>
            </w:r>
          </w:p>
        </w:tc>
        <w:tc>
          <w:tcPr>
            <w:tcW w:w="7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13,64</w:t>
            </w:r>
          </w:p>
        </w:tc>
        <w:tc>
          <w:tcPr>
            <w:tcW w:w="64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12,76</w:t>
            </w:r>
          </w:p>
        </w:tc>
        <w:tc>
          <w:tcPr>
            <w:tcW w:w="82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4,6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414D1C" w:rsidRPr="0067124A" w:rsidRDefault="00414D1C" w:rsidP="00505B10">
            <w:pPr>
              <w:jc w:val="right"/>
            </w:pPr>
          </w:p>
        </w:tc>
      </w:tr>
      <w:tr w:rsidR="00414D1C" w:rsidRPr="0067124A" w:rsidTr="00414D1C">
        <w:trPr>
          <w:jc w:val="center"/>
        </w:trPr>
        <w:tc>
          <w:tcPr>
            <w:tcW w:w="2182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5. Коэффициент обеспеченности собственными источниками финансирования (У1)</w:t>
            </w:r>
          </w:p>
        </w:tc>
        <w:tc>
          <w:tcPr>
            <w:tcW w:w="7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0,084</w:t>
            </w:r>
          </w:p>
        </w:tc>
        <w:tc>
          <w:tcPr>
            <w:tcW w:w="64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0,104</w:t>
            </w:r>
          </w:p>
        </w:tc>
        <w:tc>
          <w:tcPr>
            <w:tcW w:w="82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-0,171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414D1C" w:rsidRPr="0067124A" w:rsidRDefault="00414D1C" w:rsidP="00505B10">
            <w:pPr>
              <w:jc w:val="right"/>
            </w:pPr>
            <w:r w:rsidRPr="0067124A">
              <w:t>-0.255</w:t>
            </w:r>
          </w:p>
        </w:tc>
      </w:tr>
      <w:tr w:rsidR="00414D1C" w:rsidRPr="0067124A" w:rsidTr="00414D1C">
        <w:trPr>
          <w:jc w:val="center"/>
        </w:trPr>
        <w:tc>
          <w:tcPr>
            <w:tcW w:w="2182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     баллы</w:t>
            </w:r>
          </w:p>
        </w:tc>
        <w:tc>
          <w:tcPr>
            <w:tcW w:w="7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</w:t>
            </w:r>
          </w:p>
        </w:tc>
        <w:tc>
          <w:tcPr>
            <w:tcW w:w="64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3.12</w:t>
            </w:r>
          </w:p>
        </w:tc>
        <w:tc>
          <w:tcPr>
            <w:tcW w:w="82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414D1C" w:rsidRPr="0067124A" w:rsidRDefault="00414D1C" w:rsidP="00505B10">
            <w:pPr>
              <w:jc w:val="right"/>
            </w:pPr>
          </w:p>
        </w:tc>
      </w:tr>
      <w:tr w:rsidR="00414D1C" w:rsidRPr="0067124A" w:rsidTr="00414D1C">
        <w:trPr>
          <w:jc w:val="center"/>
        </w:trPr>
        <w:tc>
          <w:tcPr>
            <w:tcW w:w="2182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6. Коэффициент финансовой независимости в части формирования запасов и затрат (У24)</w:t>
            </w:r>
          </w:p>
        </w:tc>
        <w:tc>
          <w:tcPr>
            <w:tcW w:w="7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1,653</w:t>
            </w:r>
          </w:p>
        </w:tc>
        <w:tc>
          <w:tcPr>
            <w:tcW w:w="64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1,701</w:t>
            </w:r>
          </w:p>
        </w:tc>
        <w:tc>
          <w:tcPr>
            <w:tcW w:w="82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1,496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414D1C" w:rsidRPr="0067124A" w:rsidRDefault="00414D1C" w:rsidP="00505B10">
            <w:pPr>
              <w:jc w:val="right"/>
            </w:pPr>
            <w:r w:rsidRPr="0067124A">
              <w:t>-0,157</w:t>
            </w:r>
          </w:p>
        </w:tc>
      </w:tr>
      <w:tr w:rsidR="00414D1C" w:rsidRPr="0067124A" w:rsidTr="00414D1C">
        <w:trPr>
          <w:jc w:val="center"/>
        </w:trPr>
        <w:tc>
          <w:tcPr>
            <w:tcW w:w="2182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     баллы</w:t>
            </w:r>
          </w:p>
        </w:tc>
        <w:tc>
          <w:tcPr>
            <w:tcW w:w="7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13,5</w:t>
            </w:r>
          </w:p>
        </w:tc>
        <w:tc>
          <w:tcPr>
            <w:tcW w:w="64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13,5</w:t>
            </w:r>
          </w:p>
        </w:tc>
        <w:tc>
          <w:tcPr>
            <w:tcW w:w="82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13,5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414D1C" w:rsidRPr="0067124A" w:rsidRDefault="00414D1C" w:rsidP="00505B10">
            <w:pPr>
              <w:jc w:val="right"/>
            </w:pPr>
          </w:p>
        </w:tc>
      </w:tr>
      <w:tr w:rsidR="00414D1C" w:rsidRPr="0067124A" w:rsidTr="00414D1C">
        <w:trPr>
          <w:jc w:val="center"/>
        </w:trPr>
        <w:tc>
          <w:tcPr>
            <w:tcW w:w="2182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Сумма баллов</w:t>
            </w:r>
          </w:p>
        </w:tc>
        <w:tc>
          <w:tcPr>
            <w:tcW w:w="7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61,64</w:t>
            </w:r>
          </w:p>
        </w:tc>
        <w:tc>
          <w:tcPr>
            <w:tcW w:w="64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63,88</w:t>
            </w:r>
          </w:p>
        </w:tc>
        <w:tc>
          <w:tcPr>
            <w:tcW w:w="82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60,92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414D1C" w:rsidRPr="0067124A" w:rsidRDefault="00414D1C" w:rsidP="00505B10">
            <w:pPr>
              <w:jc w:val="right"/>
            </w:pPr>
          </w:p>
        </w:tc>
      </w:tr>
      <w:tr w:rsidR="00414D1C" w:rsidRPr="0067124A" w:rsidTr="00414D1C">
        <w:trPr>
          <w:jc w:val="center"/>
        </w:trPr>
        <w:tc>
          <w:tcPr>
            <w:tcW w:w="2182" w:type="pct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Класс</w:t>
            </w:r>
          </w:p>
        </w:tc>
        <w:tc>
          <w:tcPr>
            <w:tcW w:w="7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3</w:t>
            </w:r>
          </w:p>
        </w:tc>
        <w:tc>
          <w:tcPr>
            <w:tcW w:w="64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3</w:t>
            </w:r>
          </w:p>
        </w:tc>
        <w:tc>
          <w:tcPr>
            <w:tcW w:w="82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3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414D1C" w:rsidRPr="0067124A" w:rsidRDefault="00414D1C" w:rsidP="00505B10">
            <w:pPr>
              <w:jc w:val="right"/>
            </w:pPr>
          </w:p>
        </w:tc>
      </w:tr>
    </w:tbl>
    <w:p w:rsidR="0067124A" w:rsidRDefault="0067124A" w:rsidP="00414D1C">
      <w:pPr>
        <w:jc w:val="center"/>
        <w:rPr>
          <w:b/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D3442C" w:rsidRDefault="00D3442C" w:rsidP="00414D1C">
      <w:pPr>
        <w:jc w:val="center"/>
        <w:rPr>
          <w:bCs/>
        </w:rPr>
      </w:pPr>
    </w:p>
    <w:p w:rsidR="00414D1C" w:rsidRPr="00D3442C" w:rsidRDefault="00414D1C" w:rsidP="00414D1C">
      <w:pPr>
        <w:jc w:val="center"/>
        <w:rPr>
          <w:sz w:val="28"/>
          <w:szCs w:val="28"/>
        </w:rPr>
      </w:pPr>
      <w:r w:rsidRPr="00D3442C">
        <w:rPr>
          <w:bCs/>
          <w:sz w:val="28"/>
          <w:szCs w:val="28"/>
        </w:rPr>
        <w:t>Таблица 2.7 -Показатели, определяющие состояние оборотных средств</w:t>
      </w:r>
      <w:r w:rsidR="00FC5143" w:rsidRPr="00D3442C">
        <w:rPr>
          <w:sz w:val="28"/>
          <w:szCs w:val="28"/>
        </w:rPr>
        <w:t xml:space="preserve"> АО «ПАО «МАССАНДРА» с 2021-2023гг.</w:t>
      </w:r>
    </w:p>
    <w:p w:rsidR="00D3442C" w:rsidRPr="0067124A" w:rsidRDefault="00D3442C" w:rsidP="00414D1C">
      <w:pPr>
        <w:jc w:val="center"/>
        <w:rPr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70"/>
        <w:gridCol w:w="1320"/>
        <w:gridCol w:w="1320"/>
        <w:gridCol w:w="1320"/>
        <w:gridCol w:w="1365"/>
      </w:tblGrid>
      <w:tr w:rsidR="00414D1C" w:rsidRPr="0067124A" w:rsidTr="00505B10"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D1C" w:rsidRPr="0067124A" w:rsidRDefault="00414D1C" w:rsidP="00505B10">
            <w:pPr>
              <w:jc w:val="center"/>
            </w:pPr>
            <w:r w:rsidRPr="0067124A">
              <w:t>Наименование показателя</w:t>
            </w:r>
          </w:p>
        </w:tc>
        <w:tc>
          <w:tcPr>
            <w:tcW w:w="12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D1C" w:rsidRPr="0067124A" w:rsidRDefault="00414D1C" w:rsidP="00505B10">
            <w:pPr>
              <w:jc w:val="center"/>
            </w:pPr>
            <w:r w:rsidRPr="0067124A">
              <w:t>01.01.2022</w:t>
            </w:r>
          </w:p>
        </w:tc>
        <w:tc>
          <w:tcPr>
            <w:tcW w:w="12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D1C" w:rsidRPr="0067124A" w:rsidRDefault="00414D1C" w:rsidP="00505B10">
            <w:pPr>
              <w:jc w:val="center"/>
            </w:pPr>
            <w:r w:rsidRPr="0067124A">
              <w:t>01.01.2023</w:t>
            </w:r>
          </w:p>
        </w:tc>
        <w:tc>
          <w:tcPr>
            <w:tcW w:w="12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D1C" w:rsidRPr="0067124A" w:rsidRDefault="00414D1C" w:rsidP="00505B10">
            <w:pPr>
              <w:jc w:val="center"/>
            </w:pPr>
            <w:r w:rsidRPr="0067124A">
              <w:t>01.01.2024</w:t>
            </w:r>
          </w:p>
        </w:tc>
        <w:tc>
          <w:tcPr>
            <w:tcW w:w="11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D1C" w:rsidRPr="0067124A" w:rsidRDefault="00414D1C" w:rsidP="00505B10">
            <w:pPr>
              <w:jc w:val="center"/>
            </w:pPr>
            <w:r w:rsidRPr="0067124A">
              <w:t xml:space="preserve">Изменение </w:t>
            </w:r>
            <w:r w:rsidRPr="0067124A">
              <w:br/>
              <w:t>01.01.2024</w:t>
            </w:r>
            <w:r w:rsidRPr="0067124A">
              <w:br/>
              <w:t xml:space="preserve">от </w:t>
            </w:r>
            <w:r w:rsidRPr="0067124A">
              <w:br/>
              <w:t>01.01.2022</w:t>
            </w:r>
          </w:p>
        </w:tc>
      </w:tr>
      <w:tr w:rsidR="00414D1C" w:rsidRPr="0067124A" w:rsidTr="00505B10">
        <w:trPr>
          <w:jc w:val="center"/>
        </w:trPr>
        <w:tc>
          <w:tcPr>
            <w:tcW w:w="0" w:type="auto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Коэффициент обеспеченноcти собственными оборотными средствами (У1)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0.084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0.104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-0.171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-0.255</w:t>
            </w:r>
          </w:p>
        </w:tc>
      </w:tr>
      <w:tr w:rsidR="00414D1C" w:rsidRPr="0067124A" w:rsidTr="00505B10">
        <w:trPr>
          <w:jc w:val="center"/>
        </w:trPr>
        <w:tc>
          <w:tcPr>
            <w:tcW w:w="0" w:type="auto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Коэффициент обеспеченности материальных запасов собственными средствами (У2)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0.121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0.163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-0.273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-0.394</w:t>
            </w:r>
          </w:p>
        </w:tc>
      </w:tr>
      <w:tr w:rsidR="00414D1C" w:rsidRPr="0067124A" w:rsidTr="00505B10">
        <w:trPr>
          <w:jc w:val="center"/>
        </w:trPr>
        <w:tc>
          <w:tcPr>
            <w:tcW w:w="0" w:type="auto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Коэффициент маневренности собственных средств (У3)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0.073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0.096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-0.182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-0.255</w:t>
            </w:r>
          </w:p>
        </w:tc>
      </w:tr>
      <w:tr w:rsidR="00414D1C" w:rsidRPr="0067124A" w:rsidTr="00505B10">
        <w:trPr>
          <w:jc w:val="center"/>
        </w:trPr>
        <w:tc>
          <w:tcPr>
            <w:tcW w:w="0" w:type="auto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Коэффициент маневренности (У4)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0.045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0.057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-0.091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-0.136</w:t>
            </w:r>
          </w:p>
        </w:tc>
      </w:tr>
      <w:tr w:rsidR="00414D1C" w:rsidRPr="0067124A" w:rsidTr="00505B10">
        <w:trPr>
          <w:jc w:val="center"/>
        </w:trPr>
        <w:tc>
          <w:tcPr>
            <w:tcW w:w="0" w:type="auto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Коэффициент мобильности всех средств (У5)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0.483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0.505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0.474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-0.009</w:t>
            </w:r>
          </w:p>
        </w:tc>
      </w:tr>
      <w:tr w:rsidR="00414D1C" w:rsidRPr="0067124A" w:rsidTr="00505B10">
        <w:trPr>
          <w:jc w:val="center"/>
        </w:trPr>
        <w:tc>
          <w:tcPr>
            <w:tcW w:w="0" w:type="auto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Коэффициент мобильности оборотных средств (У6)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0.013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0.013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0.042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0.029</w:t>
            </w:r>
          </w:p>
        </w:tc>
      </w:tr>
      <w:tr w:rsidR="00414D1C" w:rsidRPr="0067124A" w:rsidTr="00505B10">
        <w:trPr>
          <w:jc w:val="center"/>
        </w:trPr>
        <w:tc>
          <w:tcPr>
            <w:tcW w:w="0" w:type="auto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Коэффициент обеспеченности запасов и затрат собственными источниками их формирования (У7)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1.157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1.315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1.237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14D1C" w:rsidRPr="0067124A" w:rsidRDefault="00414D1C" w:rsidP="00505B10">
            <w:pPr>
              <w:jc w:val="right"/>
            </w:pPr>
            <w:r w:rsidRPr="0067124A">
              <w:t>0.08</w:t>
            </w:r>
          </w:p>
        </w:tc>
      </w:tr>
    </w:tbl>
    <w:p w:rsidR="00414D1C" w:rsidRPr="0067124A" w:rsidRDefault="00414D1C"/>
    <w:p w:rsidR="00E17A6F" w:rsidRPr="00161809" w:rsidRDefault="00E17A6F" w:rsidP="00E17A6F">
      <w:pPr>
        <w:spacing w:line="360" w:lineRule="auto"/>
        <w:ind w:firstLine="709"/>
        <w:jc w:val="both"/>
        <w:rPr>
          <w:sz w:val="28"/>
          <w:szCs w:val="28"/>
        </w:rPr>
      </w:pPr>
      <w:r w:rsidRPr="00161809">
        <w:rPr>
          <w:sz w:val="28"/>
          <w:szCs w:val="28"/>
        </w:rPr>
        <w:t>Коэффициент обеспеченности собственными оборотными средствами (У1) отражает долю собственных оборотных средств во всех оборотных акт</w:t>
      </w:r>
      <w:r w:rsidRPr="00161809">
        <w:rPr>
          <w:sz w:val="28"/>
          <w:szCs w:val="28"/>
        </w:rPr>
        <w:t>и</w:t>
      </w:r>
      <w:r w:rsidRPr="00161809">
        <w:rPr>
          <w:sz w:val="28"/>
          <w:szCs w:val="28"/>
        </w:rPr>
        <w:t>вах организации. С помощью него можно определить, способно ли данное предприятие осуществлять финансирование текущей деятельности только со</w:t>
      </w:r>
      <w:r w:rsidRPr="00161809">
        <w:rPr>
          <w:sz w:val="28"/>
          <w:szCs w:val="28"/>
        </w:rPr>
        <w:t>б</w:t>
      </w:r>
      <w:r w:rsidRPr="00161809">
        <w:rPr>
          <w:sz w:val="28"/>
          <w:szCs w:val="28"/>
        </w:rPr>
        <w:t>ственными оборотными средствами. Коэффициент обеспеченности собстве</w:t>
      </w:r>
      <w:r w:rsidRPr="00161809">
        <w:rPr>
          <w:sz w:val="28"/>
          <w:szCs w:val="28"/>
        </w:rPr>
        <w:t>н</w:t>
      </w:r>
      <w:r w:rsidRPr="00161809">
        <w:rPr>
          <w:sz w:val="28"/>
          <w:szCs w:val="28"/>
        </w:rPr>
        <w:t>ными оборотными средствами определяется как отношение разности собстве</w:t>
      </w:r>
      <w:r w:rsidRPr="00161809">
        <w:rPr>
          <w:sz w:val="28"/>
          <w:szCs w:val="28"/>
        </w:rPr>
        <w:t>н</w:t>
      </w:r>
      <w:r w:rsidRPr="00161809">
        <w:rPr>
          <w:sz w:val="28"/>
          <w:szCs w:val="28"/>
        </w:rPr>
        <w:t xml:space="preserve">ного капитала и внеоборотных активов организации к ее оборотным активам. Рекомендуемое нормативное значение показателя должно быть не менее 0.1. Оценка значения коэффициента обеспеченности собственными оборотными средствами за анализируемый период говорит о том, что организация не имеет возможности осуществления бесперебойной производственной деятельности, она полностью зависит от </w:t>
      </w:r>
      <w:r w:rsidRPr="00161809">
        <w:rPr>
          <w:sz w:val="28"/>
          <w:szCs w:val="28"/>
        </w:rPr>
        <w:lastRenderedPageBreak/>
        <w:t>заемных источников средств при формировании св</w:t>
      </w:r>
      <w:r w:rsidRPr="00161809">
        <w:rPr>
          <w:sz w:val="28"/>
          <w:szCs w:val="28"/>
        </w:rPr>
        <w:t>о</w:t>
      </w:r>
      <w:r w:rsidRPr="00161809">
        <w:rPr>
          <w:sz w:val="28"/>
          <w:szCs w:val="28"/>
        </w:rPr>
        <w:t>их оборотных активов. Наибольшего значения 0.104 показатель достигал на 01.01.2023 г.</w:t>
      </w:r>
    </w:p>
    <w:p w:rsidR="00E17A6F" w:rsidRPr="00161809" w:rsidRDefault="00E17A6F" w:rsidP="00E17A6F">
      <w:pPr>
        <w:spacing w:line="360" w:lineRule="auto"/>
        <w:ind w:firstLine="709"/>
        <w:jc w:val="both"/>
        <w:rPr>
          <w:sz w:val="28"/>
          <w:szCs w:val="28"/>
        </w:rPr>
      </w:pPr>
      <w:r w:rsidRPr="00161809">
        <w:rPr>
          <w:sz w:val="28"/>
          <w:szCs w:val="28"/>
        </w:rPr>
        <w:t>Коэффициент маневренности собственных средств (У3) показывает, сп</w:t>
      </w:r>
      <w:r w:rsidRPr="00161809">
        <w:rPr>
          <w:sz w:val="28"/>
          <w:szCs w:val="28"/>
        </w:rPr>
        <w:t>о</w:t>
      </w:r>
      <w:r w:rsidRPr="00161809">
        <w:rPr>
          <w:sz w:val="28"/>
          <w:szCs w:val="28"/>
        </w:rPr>
        <w:t>собность организации поддерживать уровень собственного оборотного капит</w:t>
      </w:r>
      <w:r w:rsidRPr="00161809">
        <w:rPr>
          <w:sz w:val="28"/>
          <w:szCs w:val="28"/>
        </w:rPr>
        <w:t>а</w:t>
      </w:r>
      <w:r w:rsidRPr="00161809">
        <w:rPr>
          <w:sz w:val="28"/>
          <w:szCs w:val="28"/>
        </w:rPr>
        <w:t>ла и пополнять оборотные средства в случае необходимости за счет собстве</w:t>
      </w:r>
      <w:r w:rsidRPr="00161809">
        <w:rPr>
          <w:sz w:val="28"/>
          <w:szCs w:val="28"/>
        </w:rPr>
        <w:t>н</w:t>
      </w:r>
      <w:r w:rsidRPr="00161809">
        <w:rPr>
          <w:sz w:val="28"/>
          <w:szCs w:val="28"/>
        </w:rPr>
        <w:t>ных источников. Данный показатель определяется как отношение собственных оборотных средств организации к общей величине собственных средств. Рек</w:t>
      </w:r>
      <w:r w:rsidRPr="00161809">
        <w:rPr>
          <w:sz w:val="28"/>
          <w:szCs w:val="28"/>
        </w:rPr>
        <w:t>о</w:t>
      </w:r>
      <w:r w:rsidRPr="00161809">
        <w:rPr>
          <w:sz w:val="28"/>
          <w:szCs w:val="28"/>
        </w:rPr>
        <w:t>мендуемое значение коэффициента находится в диапазоне от 0,2 до 0,5. В теч</w:t>
      </w:r>
      <w:r w:rsidRPr="00161809">
        <w:rPr>
          <w:sz w:val="28"/>
          <w:szCs w:val="28"/>
        </w:rPr>
        <w:t>е</w:t>
      </w:r>
      <w:r w:rsidRPr="00161809">
        <w:rPr>
          <w:sz w:val="28"/>
          <w:szCs w:val="28"/>
        </w:rPr>
        <w:t>ние всего анализируемого периода значение коэффициента маневренности н</w:t>
      </w:r>
      <w:r w:rsidRPr="00161809">
        <w:rPr>
          <w:sz w:val="28"/>
          <w:szCs w:val="28"/>
        </w:rPr>
        <w:t>и</w:t>
      </w:r>
      <w:r w:rsidRPr="00161809">
        <w:rPr>
          <w:sz w:val="28"/>
          <w:szCs w:val="28"/>
        </w:rPr>
        <w:t>же допустимого уровня, т.е. значительная часть собственных средств организ</w:t>
      </w:r>
      <w:r w:rsidRPr="00161809">
        <w:rPr>
          <w:sz w:val="28"/>
          <w:szCs w:val="28"/>
        </w:rPr>
        <w:t>а</w:t>
      </w:r>
      <w:r w:rsidRPr="00161809">
        <w:rPr>
          <w:sz w:val="28"/>
          <w:szCs w:val="28"/>
        </w:rPr>
        <w:t>ции закреплена в ценностях иммобильного характера, которые являются менее ликвидными, т.е. не могут быть достаточно быстро преобразованы в денежную наличность. Изменение же коэффициента маневренности собственных средств свидетельствует о снижении финансовой устойчивости организации.</w:t>
      </w:r>
    </w:p>
    <w:p w:rsidR="00E17A6F" w:rsidRPr="00161809" w:rsidRDefault="00E17A6F" w:rsidP="00E17A6F">
      <w:pPr>
        <w:spacing w:line="360" w:lineRule="auto"/>
        <w:ind w:firstLine="709"/>
        <w:jc w:val="both"/>
        <w:rPr>
          <w:sz w:val="28"/>
          <w:szCs w:val="28"/>
        </w:rPr>
      </w:pPr>
      <w:r w:rsidRPr="00161809">
        <w:rPr>
          <w:sz w:val="28"/>
          <w:szCs w:val="28"/>
        </w:rPr>
        <w:t>Коэффициент мобильности всех средств (У5) отражает долю мобильной части имущества (текущих активов) во всех активах и определяется как отн</w:t>
      </w:r>
      <w:r w:rsidRPr="00161809">
        <w:rPr>
          <w:sz w:val="28"/>
          <w:szCs w:val="28"/>
        </w:rPr>
        <w:t>о</w:t>
      </w:r>
      <w:r w:rsidRPr="00161809">
        <w:rPr>
          <w:sz w:val="28"/>
          <w:szCs w:val="28"/>
        </w:rPr>
        <w:t>шение оборотных средств к валюте баланса. За анализируемый период с 01.01.2022 г. по 01.01.2024 г. снизилась доля средств, предназначенная для п</w:t>
      </w:r>
      <w:r w:rsidRPr="00161809">
        <w:rPr>
          <w:sz w:val="28"/>
          <w:szCs w:val="28"/>
        </w:rPr>
        <w:t>о</w:t>
      </w:r>
      <w:r w:rsidRPr="00161809">
        <w:rPr>
          <w:sz w:val="28"/>
          <w:szCs w:val="28"/>
        </w:rPr>
        <w:t>гашения долгов, на 0.9 пунктов и составила 47.4%. Это говорит об уменьшении возможностей обеспечивать бесперебойную работу, рассчитываясь с кредит</w:t>
      </w:r>
      <w:r w:rsidRPr="00161809">
        <w:rPr>
          <w:sz w:val="28"/>
          <w:szCs w:val="28"/>
        </w:rPr>
        <w:t>о</w:t>
      </w:r>
      <w:r w:rsidRPr="00161809">
        <w:rPr>
          <w:sz w:val="28"/>
          <w:szCs w:val="28"/>
        </w:rPr>
        <w:t>рами. Максимального значения мобильность всех средств 50.5% достигала на 01.01.2023 г., а наименьшего значения 47.4% на 01.01.2024 г.</w:t>
      </w:r>
    </w:p>
    <w:p w:rsidR="00E17A6F" w:rsidRPr="00161809" w:rsidRDefault="00E17A6F" w:rsidP="00E17A6F">
      <w:pPr>
        <w:spacing w:line="360" w:lineRule="auto"/>
        <w:ind w:firstLine="709"/>
        <w:jc w:val="both"/>
        <w:rPr>
          <w:sz w:val="28"/>
          <w:szCs w:val="28"/>
        </w:rPr>
      </w:pPr>
      <w:r w:rsidRPr="00161809">
        <w:rPr>
          <w:sz w:val="28"/>
          <w:szCs w:val="28"/>
        </w:rPr>
        <w:t>Коэффициент мобильности оборотных средств (У6) показывает долю г</w:t>
      </w:r>
      <w:r w:rsidRPr="00161809">
        <w:rPr>
          <w:sz w:val="28"/>
          <w:szCs w:val="28"/>
        </w:rPr>
        <w:t>о</w:t>
      </w:r>
      <w:r w:rsidRPr="00161809">
        <w:rPr>
          <w:sz w:val="28"/>
          <w:szCs w:val="28"/>
        </w:rPr>
        <w:t xml:space="preserve">товых к платежу средств в общей сумме средств, направляемых на погашение краткосрочных долгов и определяется делением наиболее мобильной части оборотных средств (денежных средств и финансовых вложений) к стоимости оборотных активов. К концу анализируемого периода доля абсолютно готовых к платежу средств в общей сумме средств, </w:t>
      </w:r>
      <w:r w:rsidRPr="00161809">
        <w:rPr>
          <w:sz w:val="28"/>
          <w:szCs w:val="28"/>
        </w:rPr>
        <w:lastRenderedPageBreak/>
        <w:t>направляемых на погашение кратк</w:t>
      </w:r>
      <w:r w:rsidRPr="00161809">
        <w:rPr>
          <w:sz w:val="28"/>
          <w:szCs w:val="28"/>
        </w:rPr>
        <w:t>о</w:t>
      </w:r>
      <w:r w:rsidRPr="00161809">
        <w:rPr>
          <w:sz w:val="28"/>
          <w:szCs w:val="28"/>
        </w:rPr>
        <w:t>срочных долгов, увеличилась на 2.9 пунктов и составила 4.2% от общей суммы оборотных активов организации. Наибольшего значения 4.2% данный показ</w:t>
      </w:r>
      <w:r w:rsidRPr="00161809">
        <w:rPr>
          <w:sz w:val="28"/>
          <w:szCs w:val="28"/>
        </w:rPr>
        <w:t>а</w:t>
      </w:r>
      <w:r w:rsidRPr="00161809">
        <w:rPr>
          <w:sz w:val="28"/>
          <w:szCs w:val="28"/>
        </w:rPr>
        <w:t>тель достигал на 01.01.2024 г., а наименьшего значения 1.3% на 01.01.2022 г.</w:t>
      </w:r>
    </w:p>
    <w:p w:rsidR="00E17A6F" w:rsidRPr="00161809" w:rsidRDefault="00E17A6F" w:rsidP="00E17A6F">
      <w:pPr>
        <w:spacing w:line="360" w:lineRule="auto"/>
        <w:ind w:firstLine="709"/>
        <w:jc w:val="both"/>
        <w:rPr>
          <w:sz w:val="28"/>
          <w:szCs w:val="28"/>
        </w:rPr>
      </w:pPr>
      <w:r w:rsidRPr="00161809">
        <w:rPr>
          <w:sz w:val="28"/>
          <w:szCs w:val="28"/>
        </w:rPr>
        <w:t>Коэффициент обеспеченности материальных запасов собственными и</w:t>
      </w:r>
      <w:r w:rsidRPr="00161809">
        <w:rPr>
          <w:sz w:val="28"/>
          <w:szCs w:val="28"/>
        </w:rPr>
        <w:t>с</w:t>
      </w:r>
      <w:r w:rsidRPr="00161809">
        <w:rPr>
          <w:sz w:val="28"/>
          <w:szCs w:val="28"/>
        </w:rPr>
        <w:t>точниками их формирования (У7) показывает, какая часть запасов и затрат ф</w:t>
      </w:r>
      <w:r w:rsidRPr="00161809">
        <w:rPr>
          <w:sz w:val="28"/>
          <w:szCs w:val="28"/>
        </w:rPr>
        <w:t>и</w:t>
      </w:r>
      <w:r w:rsidRPr="00161809">
        <w:rPr>
          <w:sz w:val="28"/>
          <w:szCs w:val="28"/>
        </w:rPr>
        <w:t>нансируется за счет собственных источников. Рекомендуемый норматив нах</w:t>
      </w:r>
      <w:r w:rsidRPr="00161809">
        <w:rPr>
          <w:sz w:val="28"/>
          <w:szCs w:val="28"/>
        </w:rPr>
        <w:t>о</w:t>
      </w:r>
      <w:r w:rsidRPr="00161809">
        <w:rPr>
          <w:sz w:val="28"/>
          <w:szCs w:val="28"/>
        </w:rPr>
        <w:t>дится в диапазоне 0,6 - 0,8, т.е. 60 - 80% запасов организации должно финанс</w:t>
      </w:r>
      <w:r w:rsidRPr="00161809">
        <w:rPr>
          <w:sz w:val="28"/>
          <w:szCs w:val="28"/>
        </w:rPr>
        <w:t>и</w:t>
      </w:r>
      <w:r w:rsidRPr="00161809">
        <w:rPr>
          <w:sz w:val="28"/>
          <w:szCs w:val="28"/>
        </w:rPr>
        <w:t>роваться посредством собственного капитала. Значение данного показателя как на начало, так и на конец периода, превышает его нормальный уровень. Это свидетельствует о том, что собственными источниками покрыты не только н</w:t>
      </w:r>
      <w:r w:rsidRPr="00161809">
        <w:rPr>
          <w:sz w:val="28"/>
          <w:szCs w:val="28"/>
        </w:rPr>
        <w:t>е</w:t>
      </w:r>
      <w:r w:rsidRPr="00161809">
        <w:rPr>
          <w:sz w:val="28"/>
          <w:szCs w:val="28"/>
        </w:rPr>
        <w:t>обходимые размеры запасов и затрат (обоснованная потребность в запасах и з</w:t>
      </w:r>
      <w:r w:rsidRPr="00161809">
        <w:rPr>
          <w:sz w:val="28"/>
          <w:szCs w:val="28"/>
        </w:rPr>
        <w:t>а</w:t>
      </w:r>
      <w:r w:rsidRPr="00161809">
        <w:rPr>
          <w:sz w:val="28"/>
          <w:szCs w:val="28"/>
        </w:rPr>
        <w:t>тратах в те периоды, когда скорость их оборота выше), но и весь их объем. При этом по состоянию на 01.01.2024 г. за счет собственных оборотных и долг</w:t>
      </w:r>
      <w:r w:rsidRPr="00161809">
        <w:rPr>
          <w:sz w:val="28"/>
          <w:szCs w:val="28"/>
        </w:rPr>
        <w:t>о</w:t>
      </w:r>
      <w:r w:rsidRPr="00161809">
        <w:rPr>
          <w:sz w:val="28"/>
          <w:szCs w:val="28"/>
        </w:rPr>
        <w:t>срочных заемных средств покрывается на 8% больше запасов и затрат, чем в начале периода. Наибольшего значения 131.5% данный показатель достигал на 01.01.2023 г., а наименьшего значения 115.7% на 01.01.2022 г.</w:t>
      </w:r>
    </w:p>
    <w:p w:rsidR="00E17A6F" w:rsidRDefault="00E17A6F" w:rsidP="00473BB6">
      <w:pPr>
        <w:jc w:val="center"/>
        <w:rPr>
          <w:bCs/>
        </w:rPr>
      </w:pPr>
    </w:p>
    <w:p w:rsidR="00E17A6F" w:rsidRDefault="00E17A6F" w:rsidP="00473BB6">
      <w:pPr>
        <w:jc w:val="center"/>
        <w:rPr>
          <w:bCs/>
        </w:rPr>
      </w:pPr>
    </w:p>
    <w:p w:rsidR="00D3442C" w:rsidRDefault="00D3442C" w:rsidP="00473BB6">
      <w:pPr>
        <w:jc w:val="center"/>
        <w:rPr>
          <w:bCs/>
        </w:rPr>
      </w:pPr>
    </w:p>
    <w:p w:rsidR="00D3442C" w:rsidRDefault="00D3442C" w:rsidP="00473BB6">
      <w:pPr>
        <w:jc w:val="center"/>
        <w:rPr>
          <w:bCs/>
        </w:rPr>
      </w:pPr>
    </w:p>
    <w:p w:rsidR="00D3442C" w:rsidRDefault="00D3442C" w:rsidP="00473BB6">
      <w:pPr>
        <w:jc w:val="center"/>
        <w:rPr>
          <w:bCs/>
        </w:rPr>
      </w:pPr>
    </w:p>
    <w:p w:rsidR="00D3442C" w:rsidRDefault="00D3442C" w:rsidP="00473BB6">
      <w:pPr>
        <w:jc w:val="center"/>
        <w:rPr>
          <w:bCs/>
        </w:rPr>
      </w:pPr>
    </w:p>
    <w:p w:rsidR="00D3442C" w:rsidRDefault="00D3442C" w:rsidP="00473BB6">
      <w:pPr>
        <w:jc w:val="center"/>
        <w:rPr>
          <w:bCs/>
        </w:rPr>
      </w:pPr>
    </w:p>
    <w:p w:rsidR="00D3442C" w:rsidRDefault="00D3442C" w:rsidP="00473BB6">
      <w:pPr>
        <w:jc w:val="center"/>
        <w:rPr>
          <w:bCs/>
        </w:rPr>
      </w:pPr>
    </w:p>
    <w:p w:rsidR="00D3442C" w:rsidRDefault="00D3442C" w:rsidP="00473BB6">
      <w:pPr>
        <w:jc w:val="center"/>
        <w:rPr>
          <w:bCs/>
        </w:rPr>
      </w:pPr>
    </w:p>
    <w:p w:rsidR="00D3442C" w:rsidRDefault="00D3442C" w:rsidP="00473BB6">
      <w:pPr>
        <w:jc w:val="center"/>
        <w:rPr>
          <w:bCs/>
        </w:rPr>
      </w:pPr>
    </w:p>
    <w:p w:rsidR="00D3442C" w:rsidRDefault="00D3442C" w:rsidP="00473BB6">
      <w:pPr>
        <w:jc w:val="center"/>
        <w:rPr>
          <w:bCs/>
        </w:rPr>
      </w:pPr>
    </w:p>
    <w:p w:rsidR="00D3442C" w:rsidRDefault="00D3442C" w:rsidP="00473BB6">
      <w:pPr>
        <w:jc w:val="center"/>
        <w:rPr>
          <w:bCs/>
        </w:rPr>
      </w:pPr>
    </w:p>
    <w:p w:rsidR="00D3442C" w:rsidRDefault="00D3442C" w:rsidP="00473BB6">
      <w:pPr>
        <w:jc w:val="center"/>
        <w:rPr>
          <w:bCs/>
        </w:rPr>
      </w:pPr>
    </w:p>
    <w:p w:rsidR="00D3442C" w:rsidRDefault="00D3442C" w:rsidP="00473BB6">
      <w:pPr>
        <w:jc w:val="center"/>
        <w:rPr>
          <w:bCs/>
        </w:rPr>
      </w:pPr>
    </w:p>
    <w:p w:rsidR="00D3442C" w:rsidRDefault="00D3442C" w:rsidP="00473BB6">
      <w:pPr>
        <w:jc w:val="center"/>
        <w:rPr>
          <w:bCs/>
        </w:rPr>
      </w:pPr>
    </w:p>
    <w:p w:rsidR="00D3442C" w:rsidRDefault="00D3442C" w:rsidP="00473BB6">
      <w:pPr>
        <w:jc w:val="center"/>
        <w:rPr>
          <w:bCs/>
        </w:rPr>
      </w:pPr>
    </w:p>
    <w:p w:rsidR="00D3442C" w:rsidRDefault="00D3442C" w:rsidP="00473BB6">
      <w:pPr>
        <w:jc w:val="center"/>
        <w:rPr>
          <w:bCs/>
        </w:rPr>
      </w:pPr>
    </w:p>
    <w:p w:rsidR="00D3442C" w:rsidRDefault="00D3442C" w:rsidP="00473BB6">
      <w:pPr>
        <w:jc w:val="center"/>
        <w:rPr>
          <w:bCs/>
        </w:rPr>
      </w:pPr>
    </w:p>
    <w:p w:rsidR="00D3442C" w:rsidRDefault="00D3442C" w:rsidP="00473BB6">
      <w:pPr>
        <w:jc w:val="center"/>
        <w:rPr>
          <w:bCs/>
        </w:rPr>
      </w:pPr>
    </w:p>
    <w:p w:rsidR="00D3442C" w:rsidRDefault="00D3442C" w:rsidP="00473BB6">
      <w:pPr>
        <w:jc w:val="center"/>
        <w:rPr>
          <w:bCs/>
        </w:rPr>
      </w:pPr>
    </w:p>
    <w:p w:rsidR="00D3442C" w:rsidRDefault="00D3442C" w:rsidP="00473BB6">
      <w:pPr>
        <w:jc w:val="center"/>
        <w:rPr>
          <w:bCs/>
        </w:rPr>
      </w:pPr>
    </w:p>
    <w:p w:rsidR="00E17A6F" w:rsidRDefault="00E17A6F" w:rsidP="00473BB6">
      <w:pPr>
        <w:jc w:val="center"/>
        <w:rPr>
          <w:bCs/>
        </w:rPr>
      </w:pPr>
    </w:p>
    <w:p w:rsidR="00473BB6" w:rsidRPr="00D3442C" w:rsidRDefault="00473BB6" w:rsidP="00473BB6">
      <w:pPr>
        <w:jc w:val="center"/>
        <w:rPr>
          <w:sz w:val="28"/>
          <w:szCs w:val="28"/>
        </w:rPr>
      </w:pPr>
      <w:r w:rsidRPr="00D3442C">
        <w:rPr>
          <w:bCs/>
          <w:sz w:val="28"/>
          <w:szCs w:val="28"/>
        </w:rPr>
        <w:t>Таблица 2.8-Показатели, определяющие состояние основных средств</w:t>
      </w:r>
      <w:r w:rsidR="00FC5143" w:rsidRPr="00D3442C">
        <w:rPr>
          <w:sz w:val="28"/>
          <w:szCs w:val="28"/>
        </w:rPr>
        <w:t xml:space="preserve"> АО «ПАО «МАССАНДРА» с 2021-2023гг.</w:t>
      </w:r>
    </w:p>
    <w:p w:rsidR="00D3442C" w:rsidRPr="0067124A" w:rsidRDefault="00D3442C" w:rsidP="00473BB6">
      <w:pPr>
        <w:jc w:val="center"/>
        <w:rPr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70"/>
        <w:gridCol w:w="1320"/>
        <w:gridCol w:w="1320"/>
        <w:gridCol w:w="1320"/>
        <w:gridCol w:w="1365"/>
      </w:tblGrid>
      <w:tr w:rsidR="00473BB6" w:rsidRPr="0067124A" w:rsidTr="00505B10"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3BB6" w:rsidRPr="0067124A" w:rsidRDefault="00473BB6" w:rsidP="00505B10">
            <w:pPr>
              <w:jc w:val="center"/>
            </w:pPr>
            <w:r w:rsidRPr="0067124A">
              <w:t>Наименование показателя</w:t>
            </w:r>
          </w:p>
        </w:tc>
        <w:tc>
          <w:tcPr>
            <w:tcW w:w="7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3BB6" w:rsidRPr="0067124A" w:rsidRDefault="00473BB6" w:rsidP="00505B10">
            <w:pPr>
              <w:jc w:val="center"/>
            </w:pPr>
            <w:r w:rsidRPr="0067124A">
              <w:t>01.01.2022</w:t>
            </w:r>
          </w:p>
        </w:tc>
        <w:tc>
          <w:tcPr>
            <w:tcW w:w="7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3BB6" w:rsidRPr="0067124A" w:rsidRDefault="00473BB6" w:rsidP="00505B10">
            <w:pPr>
              <w:jc w:val="center"/>
            </w:pPr>
            <w:r w:rsidRPr="0067124A">
              <w:t>01.01.2023</w:t>
            </w:r>
          </w:p>
        </w:tc>
        <w:tc>
          <w:tcPr>
            <w:tcW w:w="7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3BB6" w:rsidRPr="0067124A" w:rsidRDefault="00473BB6" w:rsidP="00505B10">
            <w:pPr>
              <w:jc w:val="center"/>
            </w:pPr>
            <w:r w:rsidRPr="0067124A">
              <w:t>01.01.2024</w:t>
            </w:r>
          </w:p>
        </w:tc>
        <w:tc>
          <w:tcPr>
            <w:tcW w:w="4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3BB6" w:rsidRPr="0067124A" w:rsidRDefault="00473BB6" w:rsidP="00505B10">
            <w:pPr>
              <w:jc w:val="center"/>
            </w:pPr>
            <w:r w:rsidRPr="0067124A">
              <w:t xml:space="preserve">Изменение </w:t>
            </w:r>
            <w:r w:rsidRPr="0067124A">
              <w:br/>
              <w:t>01.01.2024</w:t>
            </w:r>
            <w:r w:rsidRPr="0067124A">
              <w:br/>
              <w:t xml:space="preserve">от </w:t>
            </w:r>
            <w:r w:rsidRPr="0067124A">
              <w:br/>
              <w:t>01.01.2022</w:t>
            </w:r>
          </w:p>
        </w:tc>
      </w:tr>
      <w:tr w:rsidR="00473BB6" w:rsidRPr="0067124A" w:rsidTr="00505B10">
        <w:trPr>
          <w:jc w:val="center"/>
        </w:trPr>
        <w:tc>
          <w:tcPr>
            <w:tcW w:w="0" w:type="auto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73BB6" w:rsidRPr="0067124A" w:rsidRDefault="00473BB6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Индекс постоянного актива (У8)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73BB6" w:rsidRPr="0067124A" w:rsidRDefault="00473BB6" w:rsidP="00505B10">
            <w:pPr>
              <w:jc w:val="right"/>
            </w:pPr>
            <w:r w:rsidRPr="0067124A">
              <w:t>0.927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73BB6" w:rsidRPr="0067124A" w:rsidRDefault="00473BB6" w:rsidP="00505B10">
            <w:pPr>
              <w:jc w:val="right"/>
            </w:pPr>
            <w:r w:rsidRPr="0067124A">
              <w:t>0.904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73BB6" w:rsidRPr="0067124A" w:rsidRDefault="00473BB6" w:rsidP="00505B10">
            <w:pPr>
              <w:jc w:val="right"/>
            </w:pPr>
            <w:r w:rsidRPr="0067124A">
              <w:t>1.182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73BB6" w:rsidRPr="0067124A" w:rsidRDefault="00473BB6" w:rsidP="00505B10">
            <w:pPr>
              <w:jc w:val="right"/>
            </w:pPr>
            <w:r w:rsidRPr="0067124A">
              <w:t>0.255</w:t>
            </w:r>
          </w:p>
        </w:tc>
      </w:tr>
      <w:tr w:rsidR="00473BB6" w:rsidRPr="0067124A" w:rsidTr="00505B10">
        <w:trPr>
          <w:jc w:val="center"/>
        </w:trPr>
        <w:tc>
          <w:tcPr>
            <w:tcW w:w="0" w:type="auto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73BB6" w:rsidRPr="0067124A" w:rsidRDefault="00473BB6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Коэффициент имущества производственного назначения (У10)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73BB6" w:rsidRPr="0067124A" w:rsidRDefault="00473BB6" w:rsidP="00505B10">
            <w:pPr>
              <w:jc w:val="right"/>
            </w:pPr>
            <w:r w:rsidRPr="0067124A">
              <w:t>0.854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73BB6" w:rsidRPr="0067124A" w:rsidRDefault="00473BB6" w:rsidP="00505B10">
            <w:pPr>
              <w:jc w:val="right"/>
            </w:pPr>
            <w:r w:rsidRPr="0067124A">
              <w:t>0.816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73BB6" w:rsidRPr="0067124A" w:rsidRDefault="00473BB6" w:rsidP="00505B10">
            <w:pPr>
              <w:jc w:val="right"/>
            </w:pPr>
            <w:r w:rsidRPr="0067124A">
              <w:t>0.824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73BB6" w:rsidRPr="0067124A" w:rsidRDefault="00473BB6" w:rsidP="00505B10">
            <w:pPr>
              <w:jc w:val="right"/>
            </w:pPr>
            <w:r w:rsidRPr="0067124A">
              <w:t>-0.03</w:t>
            </w:r>
          </w:p>
        </w:tc>
      </w:tr>
      <w:tr w:rsidR="00473BB6" w:rsidRPr="0067124A" w:rsidTr="00505B10">
        <w:trPr>
          <w:jc w:val="center"/>
        </w:trPr>
        <w:tc>
          <w:tcPr>
            <w:tcW w:w="0" w:type="auto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73BB6" w:rsidRPr="0067124A" w:rsidRDefault="00473BB6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Коэффициент структуры долгосрочных вложений (У11)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73BB6" w:rsidRPr="0067124A" w:rsidRDefault="00473BB6" w:rsidP="00505B10">
            <w:pPr>
              <w:jc w:val="right"/>
            </w:pPr>
            <w:r w:rsidRPr="0067124A">
              <w:t>0.675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73BB6" w:rsidRPr="0067124A" w:rsidRDefault="00473BB6" w:rsidP="00505B10">
            <w:pPr>
              <w:jc w:val="right"/>
            </w:pPr>
            <w:r w:rsidRPr="0067124A">
              <w:t>0.747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73BB6" w:rsidRPr="0067124A" w:rsidRDefault="00473BB6" w:rsidP="00505B10">
            <w:pPr>
              <w:jc w:val="right"/>
            </w:pPr>
            <w:r w:rsidRPr="0067124A">
              <w:t>0.853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73BB6" w:rsidRPr="0067124A" w:rsidRDefault="00473BB6" w:rsidP="00505B10">
            <w:pPr>
              <w:jc w:val="right"/>
            </w:pPr>
            <w:r w:rsidRPr="0067124A">
              <w:t>0.178</w:t>
            </w:r>
          </w:p>
        </w:tc>
      </w:tr>
    </w:tbl>
    <w:p w:rsidR="00473BB6" w:rsidRPr="0067124A" w:rsidRDefault="00473BB6" w:rsidP="00473BB6">
      <w:pPr>
        <w:pStyle w:val="a3"/>
        <w:spacing w:line="360" w:lineRule="auto"/>
        <w:ind w:left="0" w:firstLine="709"/>
        <w:jc w:val="both"/>
      </w:pPr>
    </w:p>
    <w:p w:rsidR="006F44E7" w:rsidRPr="00161809" w:rsidRDefault="006F44E7" w:rsidP="006F44E7">
      <w:pPr>
        <w:spacing w:line="360" w:lineRule="auto"/>
        <w:ind w:firstLine="709"/>
        <w:jc w:val="both"/>
        <w:rPr>
          <w:sz w:val="28"/>
          <w:szCs w:val="28"/>
        </w:rPr>
      </w:pPr>
      <w:r w:rsidRPr="00161809">
        <w:rPr>
          <w:sz w:val="28"/>
          <w:szCs w:val="28"/>
        </w:rPr>
        <w:t>Коэффициент имущества производственного назначения (У10) характ</w:t>
      </w:r>
      <w:r w:rsidRPr="00161809">
        <w:rPr>
          <w:sz w:val="28"/>
          <w:szCs w:val="28"/>
        </w:rPr>
        <w:t>е</w:t>
      </w:r>
      <w:r w:rsidRPr="00161809">
        <w:rPr>
          <w:sz w:val="28"/>
          <w:szCs w:val="28"/>
        </w:rPr>
        <w:t>ризует долю активов основной производственно-хозяйственной деятельности в общей стоимости активов предприятия. Нормативным считается значение к</w:t>
      </w:r>
      <w:r w:rsidRPr="00161809">
        <w:rPr>
          <w:sz w:val="28"/>
          <w:szCs w:val="28"/>
        </w:rPr>
        <w:t>о</w:t>
      </w:r>
      <w:r w:rsidRPr="00161809">
        <w:rPr>
          <w:sz w:val="28"/>
          <w:szCs w:val="28"/>
        </w:rPr>
        <w:t>эффициента большее либо равное 0,5. Уровень коэффициента имущества пр</w:t>
      </w:r>
      <w:r w:rsidRPr="00161809">
        <w:rPr>
          <w:sz w:val="28"/>
          <w:szCs w:val="28"/>
        </w:rPr>
        <w:t>о</w:t>
      </w:r>
      <w:r w:rsidRPr="00161809">
        <w:rPr>
          <w:sz w:val="28"/>
          <w:szCs w:val="28"/>
        </w:rPr>
        <w:t>изводственного назначения в течение всего периода был выше нормы, что св</w:t>
      </w:r>
      <w:r w:rsidRPr="00161809">
        <w:rPr>
          <w:sz w:val="28"/>
          <w:szCs w:val="28"/>
        </w:rPr>
        <w:t>и</w:t>
      </w:r>
      <w:r w:rsidRPr="00161809">
        <w:rPr>
          <w:sz w:val="28"/>
          <w:szCs w:val="28"/>
        </w:rPr>
        <w:t>детельствует о приоритетности вложения капитала в производственную сферу и сферу обращения, а также о возможности маневрировать ресурсами и капит</w:t>
      </w:r>
      <w:r w:rsidRPr="00161809">
        <w:rPr>
          <w:sz w:val="28"/>
          <w:szCs w:val="28"/>
        </w:rPr>
        <w:t>а</w:t>
      </w:r>
      <w:r w:rsidRPr="00161809">
        <w:rPr>
          <w:sz w:val="28"/>
          <w:szCs w:val="28"/>
        </w:rPr>
        <w:t>лом для обеспечения финансовой стабильности при изменении внешней р</w:t>
      </w:r>
      <w:r w:rsidRPr="00161809">
        <w:rPr>
          <w:sz w:val="28"/>
          <w:szCs w:val="28"/>
        </w:rPr>
        <w:t>ы</w:t>
      </w:r>
      <w:r w:rsidRPr="00161809">
        <w:rPr>
          <w:sz w:val="28"/>
          <w:szCs w:val="28"/>
        </w:rPr>
        <w:t>ночной среды. При этом наблюдается снижение данного показателя, что явл</w:t>
      </w:r>
      <w:r w:rsidRPr="00161809">
        <w:rPr>
          <w:sz w:val="28"/>
          <w:szCs w:val="28"/>
        </w:rPr>
        <w:t>я</w:t>
      </w:r>
      <w:r w:rsidRPr="00161809">
        <w:rPr>
          <w:sz w:val="28"/>
          <w:szCs w:val="28"/>
        </w:rPr>
        <w:t>ется отрицательной характеристикой для предприятия. Максимального знач</w:t>
      </w:r>
      <w:r w:rsidRPr="00161809">
        <w:rPr>
          <w:sz w:val="28"/>
          <w:szCs w:val="28"/>
        </w:rPr>
        <w:t>е</w:t>
      </w:r>
      <w:r w:rsidRPr="00161809">
        <w:rPr>
          <w:sz w:val="28"/>
          <w:szCs w:val="28"/>
        </w:rPr>
        <w:t>ния в 0.854 уровень коэффициента достигал 01.01.2022 года, а минимального 0.816 – 01.01.2023 года.</w:t>
      </w:r>
    </w:p>
    <w:p w:rsidR="006F44E7" w:rsidRPr="00161809" w:rsidRDefault="006F44E7" w:rsidP="006F44E7">
      <w:pPr>
        <w:spacing w:line="360" w:lineRule="auto"/>
        <w:ind w:firstLine="709"/>
        <w:jc w:val="both"/>
        <w:rPr>
          <w:sz w:val="28"/>
          <w:szCs w:val="28"/>
        </w:rPr>
      </w:pPr>
      <w:r w:rsidRPr="00161809">
        <w:rPr>
          <w:sz w:val="28"/>
          <w:szCs w:val="28"/>
        </w:rPr>
        <w:t>Коэффициент структуры долгосрочных вложений (У11) показывает долю, которую составляют долгосрочные обязательства в объеме внеоборотных акт</w:t>
      </w:r>
      <w:r w:rsidRPr="00161809">
        <w:rPr>
          <w:sz w:val="28"/>
          <w:szCs w:val="28"/>
        </w:rPr>
        <w:t>и</w:t>
      </w:r>
      <w:r w:rsidRPr="00161809">
        <w:rPr>
          <w:sz w:val="28"/>
          <w:szCs w:val="28"/>
        </w:rPr>
        <w:t>вов организации. Уровень данного показателя организации свидетельствует о возможности долгосрочного финансирования для расширения деятельности. В последнем анализируемом периоде наблюдается рост доли постоянных акт</w:t>
      </w:r>
      <w:r w:rsidRPr="00161809">
        <w:rPr>
          <w:sz w:val="28"/>
          <w:szCs w:val="28"/>
        </w:rPr>
        <w:t>и</w:t>
      </w:r>
      <w:r w:rsidRPr="00161809">
        <w:rPr>
          <w:sz w:val="28"/>
          <w:szCs w:val="28"/>
        </w:rPr>
        <w:t xml:space="preserve">вов, финансируемых за счет </w:t>
      </w:r>
      <w:r w:rsidRPr="00161809">
        <w:rPr>
          <w:sz w:val="28"/>
          <w:szCs w:val="28"/>
        </w:rPr>
        <w:lastRenderedPageBreak/>
        <w:t>долгосрочных заемных источников с 74.7% до 85.3%. Таким образом, стоимость использования внеоборотных активов во</w:t>
      </w:r>
      <w:r w:rsidRPr="00161809">
        <w:rPr>
          <w:sz w:val="28"/>
          <w:szCs w:val="28"/>
        </w:rPr>
        <w:t>з</w:t>
      </w:r>
      <w:r w:rsidRPr="00161809">
        <w:rPr>
          <w:sz w:val="28"/>
          <w:szCs w:val="28"/>
        </w:rPr>
        <w:t>росла. При этом максимального значения 85.3% данный показатель достигал по состоянию на 01.01.2024 года, а минимального значения 67.5% на 01.01.2022 года</w:t>
      </w:r>
    </w:p>
    <w:p w:rsidR="0067124A" w:rsidRDefault="0067124A" w:rsidP="005F4EF8">
      <w:pPr>
        <w:jc w:val="center"/>
        <w:rPr>
          <w:b/>
          <w:bCs/>
        </w:rPr>
      </w:pPr>
    </w:p>
    <w:p w:rsidR="0067124A" w:rsidRDefault="0067124A" w:rsidP="005F4EF8">
      <w:pPr>
        <w:jc w:val="center"/>
        <w:rPr>
          <w:b/>
          <w:bCs/>
        </w:rPr>
      </w:pPr>
    </w:p>
    <w:p w:rsidR="005F4EF8" w:rsidRPr="00D3442C" w:rsidRDefault="005F4EF8" w:rsidP="005F4EF8">
      <w:pPr>
        <w:jc w:val="center"/>
        <w:rPr>
          <w:bCs/>
          <w:sz w:val="28"/>
          <w:szCs w:val="28"/>
        </w:rPr>
      </w:pPr>
      <w:r w:rsidRPr="00D3442C">
        <w:rPr>
          <w:bCs/>
          <w:sz w:val="28"/>
          <w:szCs w:val="28"/>
        </w:rPr>
        <w:t>Таблица 2.9- Показатели, характеризующие структуру капитала</w:t>
      </w:r>
      <w:r w:rsidR="00FC5143" w:rsidRPr="00D3442C">
        <w:rPr>
          <w:sz w:val="28"/>
          <w:szCs w:val="28"/>
        </w:rPr>
        <w:t xml:space="preserve"> АО «ПАО «МАССАНДРА» с 2021-2023гг.</w:t>
      </w:r>
    </w:p>
    <w:tbl>
      <w:tblPr>
        <w:tblW w:w="5000" w:type="pct"/>
        <w:jc w:val="center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071"/>
        <w:gridCol w:w="1436"/>
        <w:gridCol w:w="1396"/>
        <w:gridCol w:w="1352"/>
        <w:gridCol w:w="1340"/>
      </w:tblGrid>
      <w:tr w:rsidR="005F4EF8" w:rsidRPr="0067124A" w:rsidTr="0067124A">
        <w:trPr>
          <w:tblHeader/>
          <w:jc w:val="center"/>
        </w:trPr>
        <w:tc>
          <w:tcPr>
            <w:tcW w:w="40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EF8" w:rsidRPr="0067124A" w:rsidRDefault="005F4EF8" w:rsidP="00505B10">
            <w:pPr>
              <w:jc w:val="center"/>
            </w:pPr>
            <w:r w:rsidRPr="0067124A">
              <w:t>Наименование показателя</w:t>
            </w:r>
          </w:p>
        </w:tc>
        <w:tc>
          <w:tcPr>
            <w:tcW w:w="14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EF8" w:rsidRPr="0067124A" w:rsidRDefault="005F4EF8" w:rsidP="00505B10">
            <w:pPr>
              <w:jc w:val="center"/>
            </w:pPr>
            <w:r w:rsidRPr="0067124A">
              <w:t>01.01.2022</w:t>
            </w:r>
          </w:p>
        </w:tc>
        <w:tc>
          <w:tcPr>
            <w:tcW w:w="13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EF8" w:rsidRPr="0067124A" w:rsidRDefault="005F4EF8" w:rsidP="00505B10">
            <w:pPr>
              <w:jc w:val="center"/>
            </w:pPr>
            <w:r w:rsidRPr="0067124A">
              <w:t>01.01.2023</w:t>
            </w:r>
          </w:p>
        </w:tc>
        <w:tc>
          <w:tcPr>
            <w:tcW w:w="13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EF8" w:rsidRPr="0067124A" w:rsidRDefault="005F4EF8" w:rsidP="00505B10">
            <w:pPr>
              <w:jc w:val="center"/>
            </w:pPr>
            <w:r w:rsidRPr="0067124A">
              <w:t>01.01.2024</w:t>
            </w:r>
          </w:p>
        </w:tc>
        <w:tc>
          <w:tcPr>
            <w:tcW w:w="1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EF8" w:rsidRPr="0067124A" w:rsidRDefault="005F4EF8" w:rsidP="00505B10">
            <w:pPr>
              <w:jc w:val="center"/>
            </w:pPr>
            <w:r w:rsidRPr="0067124A">
              <w:t xml:space="preserve">Изменение </w:t>
            </w:r>
            <w:r w:rsidRPr="0067124A">
              <w:br/>
              <w:t>01.01.2024</w:t>
            </w:r>
            <w:r w:rsidRPr="0067124A">
              <w:br/>
              <w:t xml:space="preserve">от </w:t>
            </w:r>
            <w:r w:rsidRPr="0067124A">
              <w:br/>
              <w:t>01.01.2022</w:t>
            </w:r>
          </w:p>
        </w:tc>
      </w:tr>
      <w:tr w:rsidR="005F4EF8" w:rsidRPr="0067124A" w:rsidTr="0067124A">
        <w:trPr>
          <w:jc w:val="center"/>
        </w:trPr>
        <w:tc>
          <w:tcPr>
            <w:tcW w:w="4071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Коэффициент автономии (У12 финансовой независимости)</w:t>
            </w:r>
          </w:p>
        </w:tc>
        <w:tc>
          <w:tcPr>
            <w:tcW w:w="1436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0.558</w:t>
            </w:r>
          </w:p>
        </w:tc>
        <w:tc>
          <w:tcPr>
            <w:tcW w:w="1396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0.547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0.445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-0.113</w:t>
            </w:r>
          </w:p>
        </w:tc>
      </w:tr>
      <w:tr w:rsidR="005F4EF8" w:rsidRPr="0067124A" w:rsidTr="0067124A">
        <w:trPr>
          <w:jc w:val="center"/>
        </w:trPr>
        <w:tc>
          <w:tcPr>
            <w:tcW w:w="4071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Коэффициент концентрации заемного капитала (У13)</w:t>
            </w:r>
          </w:p>
        </w:tc>
        <w:tc>
          <w:tcPr>
            <w:tcW w:w="1436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0.442</w:t>
            </w:r>
          </w:p>
        </w:tc>
        <w:tc>
          <w:tcPr>
            <w:tcW w:w="1396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0.453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0.555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0.113</w:t>
            </w:r>
          </w:p>
        </w:tc>
      </w:tr>
      <w:tr w:rsidR="005F4EF8" w:rsidRPr="0067124A" w:rsidTr="0067124A">
        <w:trPr>
          <w:jc w:val="center"/>
        </w:trPr>
        <w:tc>
          <w:tcPr>
            <w:tcW w:w="4071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Коэффициент капитализации (У14 финансового риска)</w:t>
            </w:r>
          </w:p>
        </w:tc>
        <w:tc>
          <w:tcPr>
            <w:tcW w:w="1436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0.792</w:t>
            </w:r>
          </w:p>
        </w:tc>
        <w:tc>
          <w:tcPr>
            <w:tcW w:w="1396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0.827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1.246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0.454</w:t>
            </w:r>
          </w:p>
        </w:tc>
      </w:tr>
      <w:tr w:rsidR="005F4EF8" w:rsidRPr="0067124A" w:rsidTr="0067124A">
        <w:trPr>
          <w:jc w:val="center"/>
        </w:trPr>
        <w:tc>
          <w:tcPr>
            <w:tcW w:w="4071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Коэффициент финансирования (У15)</w:t>
            </w:r>
          </w:p>
        </w:tc>
        <w:tc>
          <w:tcPr>
            <w:tcW w:w="1436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1.262</w:t>
            </w:r>
          </w:p>
        </w:tc>
        <w:tc>
          <w:tcPr>
            <w:tcW w:w="1396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1.21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0.803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-0.459</w:t>
            </w:r>
          </w:p>
        </w:tc>
      </w:tr>
      <w:tr w:rsidR="005F4EF8" w:rsidRPr="0067124A" w:rsidTr="0067124A">
        <w:trPr>
          <w:jc w:val="center"/>
        </w:trPr>
        <w:tc>
          <w:tcPr>
            <w:tcW w:w="4071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Коэффициент соотношения мобильных и иммобилизованных средств (У16)</w:t>
            </w:r>
          </w:p>
        </w:tc>
        <w:tc>
          <w:tcPr>
            <w:tcW w:w="1436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0.934</w:t>
            </w:r>
          </w:p>
        </w:tc>
        <w:tc>
          <w:tcPr>
            <w:tcW w:w="1396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1.02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0.9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-0.034</w:t>
            </w:r>
          </w:p>
        </w:tc>
      </w:tr>
      <w:tr w:rsidR="005F4EF8" w:rsidRPr="0067124A" w:rsidTr="0067124A">
        <w:trPr>
          <w:jc w:val="center"/>
        </w:trPr>
        <w:tc>
          <w:tcPr>
            <w:tcW w:w="4071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Коэффициент устойчивого финансирования (У17)</w:t>
            </w:r>
          </w:p>
        </w:tc>
        <w:tc>
          <w:tcPr>
            <w:tcW w:w="1436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0.907</w:t>
            </w:r>
          </w:p>
        </w:tc>
        <w:tc>
          <w:tcPr>
            <w:tcW w:w="1396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0.917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0.894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5F4EF8" w:rsidRPr="0067124A" w:rsidRDefault="005F4EF8" w:rsidP="00505B10">
            <w:pPr>
              <w:jc w:val="right"/>
            </w:pPr>
            <w:r w:rsidRPr="0067124A">
              <w:t>-0.013</w:t>
            </w:r>
          </w:p>
        </w:tc>
      </w:tr>
    </w:tbl>
    <w:p w:rsidR="00D3442C" w:rsidRDefault="00D3442C" w:rsidP="004A7959">
      <w:pPr>
        <w:jc w:val="center"/>
        <w:rPr>
          <w:bCs/>
        </w:rPr>
      </w:pPr>
    </w:p>
    <w:p w:rsidR="00D3442C" w:rsidRDefault="00D3442C" w:rsidP="004A7959">
      <w:pPr>
        <w:jc w:val="center"/>
        <w:rPr>
          <w:bCs/>
        </w:rPr>
      </w:pPr>
    </w:p>
    <w:p w:rsidR="00D3442C" w:rsidRDefault="00D3442C" w:rsidP="004A7959">
      <w:pPr>
        <w:jc w:val="center"/>
        <w:rPr>
          <w:bCs/>
        </w:rPr>
      </w:pPr>
    </w:p>
    <w:p w:rsidR="00D3442C" w:rsidRDefault="00D3442C" w:rsidP="004A7959">
      <w:pPr>
        <w:jc w:val="center"/>
        <w:rPr>
          <w:bCs/>
        </w:rPr>
      </w:pPr>
    </w:p>
    <w:p w:rsidR="00D3442C" w:rsidRDefault="00D3442C" w:rsidP="004A7959">
      <w:pPr>
        <w:jc w:val="center"/>
        <w:rPr>
          <w:bCs/>
        </w:rPr>
      </w:pPr>
    </w:p>
    <w:p w:rsidR="00D3442C" w:rsidRDefault="00D3442C" w:rsidP="004A7959">
      <w:pPr>
        <w:jc w:val="center"/>
        <w:rPr>
          <w:bCs/>
        </w:rPr>
      </w:pPr>
    </w:p>
    <w:p w:rsidR="00D3442C" w:rsidRDefault="00D3442C" w:rsidP="004A7959">
      <w:pPr>
        <w:jc w:val="center"/>
        <w:rPr>
          <w:bCs/>
        </w:rPr>
      </w:pPr>
    </w:p>
    <w:p w:rsidR="00D3442C" w:rsidRDefault="00D3442C" w:rsidP="004A7959">
      <w:pPr>
        <w:jc w:val="center"/>
        <w:rPr>
          <w:bCs/>
        </w:rPr>
      </w:pPr>
    </w:p>
    <w:p w:rsidR="00D3442C" w:rsidRDefault="00D3442C" w:rsidP="004A7959">
      <w:pPr>
        <w:jc w:val="center"/>
        <w:rPr>
          <w:bCs/>
        </w:rPr>
      </w:pPr>
    </w:p>
    <w:p w:rsidR="00D3442C" w:rsidRDefault="00D3442C" w:rsidP="004A7959">
      <w:pPr>
        <w:jc w:val="center"/>
        <w:rPr>
          <w:bCs/>
        </w:rPr>
      </w:pPr>
    </w:p>
    <w:p w:rsidR="00D3442C" w:rsidRDefault="00D3442C" w:rsidP="004A7959">
      <w:pPr>
        <w:jc w:val="center"/>
        <w:rPr>
          <w:bCs/>
        </w:rPr>
      </w:pPr>
    </w:p>
    <w:p w:rsidR="00D3442C" w:rsidRDefault="00D3442C" w:rsidP="004A7959">
      <w:pPr>
        <w:jc w:val="center"/>
        <w:rPr>
          <w:bCs/>
        </w:rPr>
      </w:pPr>
    </w:p>
    <w:p w:rsidR="00D3442C" w:rsidRDefault="00D3442C" w:rsidP="004A7959">
      <w:pPr>
        <w:jc w:val="center"/>
        <w:rPr>
          <w:bCs/>
        </w:rPr>
      </w:pPr>
    </w:p>
    <w:p w:rsidR="00D3442C" w:rsidRDefault="00D3442C" w:rsidP="004A7959">
      <w:pPr>
        <w:jc w:val="center"/>
        <w:rPr>
          <w:bCs/>
        </w:rPr>
      </w:pPr>
    </w:p>
    <w:p w:rsidR="00D3442C" w:rsidRDefault="00D3442C" w:rsidP="004A7959">
      <w:pPr>
        <w:jc w:val="center"/>
        <w:rPr>
          <w:bCs/>
        </w:rPr>
      </w:pPr>
    </w:p>
    <w:p w:rsidR="00D3442C" w:rsidRDefault="00D3442C" w:rsidP="004A7959">
      <w:pPr>
        <w:jc w:val="center"/>
        <w:rPr>
          <w:bCs/>
        </w:rPr>
      </w:pPr>
    </w:p>
    <w:p w:rsidR="00D3442C" w:rsidRDefault="00D3442C" w:rsidP="004A7959">
      <w:pPr>
        <w:jc w:val="center"/>
        <w:rPr>
          <w:bCs/>
        </w:rPr>
      </w:pPr>
    </w:p>
    <w:p w:rsidR="00D3442C" w:rsidRDefault="00D3442C" w:rsidP="004A7959">
      <w:pPr>
        <w:jc w:val="center"/>
        <w:rPr>
          <w:bCs/>
        </w:rPr>
      </w:pPr>
    </w:p>
    <w:p w:rsidR="00D3442C" w:rsidRDefault="00D3442C" w:rsidP="004A7959">
      <w:pPr>
        <w:jc w:val="center"/>
        <w:rPr>
          <w:bCs/>
        </w:rPr>
      </w:pPr>
    </w:p>
    <w:p w:rsidR="00D3442C" w:rsidRDefault="00D3442C" w:rsidP="004A7959">
      <w:pPr>
        <w:jc w:val="center"/>
        <w:rPr>
          <w:bCs/>
        </w:rPr>
      </w:pPr>
    </w:p>
    <w:p w:rsidR="004A7959" w:rsidRPr="00D3442C" w:rsidRDefault="004A7959" w:rsidP="004A7959">
      <w:pPr>
        <w:jc w:val="center"/>
        <w:rPr>
          <w:sz w:val="28"/>
          <w:szCs w:val="28"/>
        </w:rPr>
      </w:pPr>
      <w:r w:rsidRPr="00D3442C">
        <w:rPr>
          <w:bCs/>
          <w:sz w:val="28"/>
          <w:szCs w:val="28"/>
        </w:rPr>
        <w:t>Таблица 2.10-Оценка абсолютных показателей финансовой устойчивости</w:t>
      </w:r>
      <w:r w:rsidR="00FC5143" w:rsidRPr="00D3442C">
        <w:rPr>
          <w:sz w:val="28"/>
          <w:szCs w:val="28"/>
        </w:rPr>
        <w:t xml:space="preserve"> АО «ПАО «МАССАНДРА» с 2021-2023гг.</w:t>
      </w:r>
    </w:p>
    <w:p w:rsidR="00D3442C" w:rsidRPr="0067124A" w:rsidRDefault="00D3442C" w:rsidP="004A7959">
      <w:pPr>
        <w:jc w:val="center"/>
        <w:rPr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34"/>
        <w:gridCol w:w="852"/>
        <w:gridCol w:w="972"/>
        <w:gridCol w:w="972"/>
        <w:gridCol w:w="1365"/>
      </w:tblGrid>
      <w:tr w:rsidR="004A7959" w:rsidRPr="0067124A" w:rsidTr="00505B10"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>Наименование показателя</w:t>
            </w:r>
          </w:p>
        </w:tc>
        <w:tc>
          <w:tcPr>
            <w:tcW w:w="7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>за 2021</w:t>
            </w:r>
          </w:p>
        </w:tc>
        <w:tc>
          <w:tcPr>
            <w:tcW w:w="7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>за 2022</w:t>
            </w:r>
          </w:p>
        </w:tc>
        <w:tc>
          <w:tcPr>
            <w:tcW w:w="7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>за 2023</w:t>
            </w:r>
          </w:p>
        </w:tc>
        <w:tc>
          <w:tcPr>
            <w:tcW w:w="4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 xml:space="preserve">Изменение </w:t>
            </w:r>
            <w:r w:rsidRPr="0067124A">
              <w:br/>
              <w:t>2023</w:t>
            </w:r>
            <w:r w:rsidRPr="0067124A">
              <w:br/>
              <w:t xml:space="preserve">от </w:t>
            </w:r>
            <w:r w:rsidRPr="0067124A">
              <w:br/>
              <w:t>2021</w:t>
            </w:r>
          </w:p>
        </w:tc>
      </w:tr>
      <w:tr w:rsidR="004A7959" w:rsidRPr="0067124A" w:rsidTr="00505B10">
        <w:trPr>
          <w:jc w:val="center"/>
        </w:trPr>
        <w:tc>
          <w:tcPr>
            <w:tcW w:w="0" w:type="auto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Коэффициент общей оборачиваемости капитала (Д1)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0.474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0.409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0.252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-0.222</w:t>
            </w:r>
          </w:p>
        </w:tc>
      </w:tr>
      <w:tr w:rsidR="004A7959" w:rsidRPr="0067124A" w:rsidTr="00505B10">
        <w:trPr>
          <w:jc w:val="center"/>
        </w:trPr>
        <w:tc>
          <w:tcPr>
            <w:tcW w:w="0" w:type="auto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Продолжительность оборота капитала, дни (Д2)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769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893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1446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677</w:t>
            </w:r>
          </w:p>
        </w:tc>
      </w:tr>
      <w:tr w:rsidR="004A7959" w:rsidRPr="0067124A" w:rsidTr="00505B10">
        <w:trPr>
          <w:jc w:val="center"/>
        </w:trPr>
        <w:tc>
          <w:tcPr>
            <w:tcW w:w="0" w:type="auto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Коэффициент оборачиваемости мобильных средств (Д3)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0.857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0.826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0.518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-0.339</w:t>
            </w:r>
          </w:p>
        </w:tc>
      </w:tr>
      <w:tr w:rsidR="004A7959" w:rsidRPr="0067124A" w:rsidTr="00505B10">
        <w:trPr>
          <w:jc w:val="center"/>
        </w:trPr>
        <w:tc>
          <w:tcPr>
            <w:tcW w:w="0" w:type="auto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Продолжительность оборота оборотных активов, дни (Д4)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426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442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705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279</w:t>
            </w:r>
          </w:p>
        </w:tc>
      </w:tr>
      <w:tr w:rsidR="004A7959" w:rsidRPr="0067124A" w:rsidTr="00505B10">
        <w:trPr>
          <w:jc w:val="center"/>
        </w:trPr>
        <w:tc>
          <w:tcPr>
            <w:tcW w:w="0" w:type="auto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Доля оборотных активов в общей величине капитала (Д5)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0.554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0.495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0.487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-0.067</w:t>
            </w:r>
          </w:p>
        </w:tc>
      </w:tr>
      <w:tr w:rsidR="004A7959" w:rsidRPr="0067124A" w:rsidTr="00505B10">
        <w:trPr>
          <w:jc w:val="center"/>
        </w:trPr>
        <w:tc>
          <w:tcPr>
            <w:tcW w:w="0" w:type="auto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Коэффициент отдачи нематериальных активов (Д6)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3082.25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3926.567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1755.209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-1327.041</w:t>
            </w:r>
          </w:p>
        </w:tc>
      </w:tr>
      <w:tr w:rsidR="004A7959" w:rsidRPr="0067124A" w:rsidTr="00505B10">
        <w:trPr>
          <w:jc w:val="center"/>
        </w:trPr>
        <w:tc>
          <w:tcPr>
            <w:tcW w:w="0" w:type="auto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Фондоотдача, обороты (Д7)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1.27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0.996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0.577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-0.693</w:t>
            </w:r>
          </w:p>
        </w:tc>
      </w:tr>
      <w:tr w:rsidR="004A7959" w:rsidRPr="0067124A" w:rsidTr="00505B10">
        <w:trPr>
          <w:jc w:val="center"/>
        </w:trPr>
        <w:tc>
          <w:tcPr>
            <w:tcW w:w="0" w:type="auto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Коэффициент отдачи собственного капитала (Д8)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0.721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0.74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0.515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-0.206</w:t>
            </w:r>
          </w:p>
        </w:tc>
      </w:tr>
    </w:tbl>
    <w:p w:rsidR="004A7959" w:rsidRPr="0067124A" w:rsidRDefault="004A7959" w:rsidP="004A7959">
      <w:pPr>
        <w:pStyle w:val="a3"/>
        <w:spacing w:line="360" w:lineRule="auto"/>
        <w:ind w:left="0" w:firstLine="709"/>
        <w:jc w:val="both"/>
      </w:pPr>
    </w:p>
    <w:p w:rsidR="0038561C" w:rsidRPr="00161809" w:rsidRDefault="0038561C" w:rsidP="0038561C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161809">
        <w:rPr>
          <w:sz w:val="28"/>
          <w:szCs w:val="28"/>
        </w:rPr>
        <w:t>Коэффициент общей оборачиваемости капитала (Д1) показывает эффе</w:t>
      </w:r>
      <w:r w:rsidRPr="00161809">
        <w:rPr>
          <w:sz w:val="28"/>
          <w:szCs w:val="28"/>
        </w:rPr>
        <w:t>к</w:t>
      </w:r>
      <w:r w:rsidRPr="00161809">
        <w:rPr>
          <w:sz w:val="28"/>
          <w:szCs w:val="28"/>
        </w:rPr>
        <w:t>тивность использования имущества, отражает скорость оборота всего капитала организации. Определяется как отношение выручки от продаж к средней сто</w:t>
      </w:r>
      <w:r w:rsidRPr="00161809">
        <w:rPr>
          <w:sz w:val="28"/>
          <w:szCs w:val="28"/>
        </w:rPr>
        <w:t>и</w:t>
      </w:r>
      <w:r w:rsidRPr="00161809">
        <w:rPr>
          <w:sz w:val="28"/>
          <w:szCs w:val="28"/>
        </w:rPr>
        <w:t>мости активов. Замедление оборачиваемости совокупного капитала произошло как за счет изменения структуры капитала (уменьшения доли оборотного кап</w:t>
      </w:r>
      <w:r w:rsidRPr="00161809">
        <w:rPr>
          <w:sz w:val="28"/>
          <w:szCs w:val="28"/>
        </w:rPr>
        <w:t>и</w:t>
      </w:r>
      <w:r w:rsidRPr="00161809">
        <w:rPr>
          <w:sz w:val="28"/>
          <w:szCs w:val="28"/>
        </w:rPr>
        <w:t>тала в общей его сумме), так и за счет замедления оборачиваемости последнего. При этом продолжительность нахождения капитала в активах организации во</w:t>
      </w:r>
      <w:r w:rsidRPr="00161809">
        <w:rPr>
          <w:sz w:val="28"/>
          <w:szCs w:val="28"/>
        </w:rPr>
        <w:t>з</w:t>
      </w:r>
      <w:r w:rsidRPr="00161809">
        <w:rPr>
          <w:sz w:val="28"/>
          <w:szCs w:val="28"/>
        </w:rPr>
        <w:t>росла на 677 дн. и составила за 2023 г. 1446 дн. Наибольшего значения коэфф</w:t>
      </w:r>
      <w:r w:rsidRPr="00161809">
        <w:rPr>
          <w:sz w:val="28"/>
          <w:szCs w:val="28"/>
        </w:rPr>
        <w:t>и</w:t>
      </w:r>
      <w:r w:rsidRPr="00161809">
        <w:rPr>
          <w:sz w:val="28"/>
          <w:szCs w:val="28"/>
        </w:rPr>
        <w:t>циент общей оборачиваемости капитала 0.474 достиг за 2021 г, а наименьшего значения 0.252 дн. - за 2023 г.</w:t>
      </w:r>
    </w:p>
    <w:p w:rsidR="0038561C" w:rsidRPr="00161809" w:rsidRDefault="0038561C" w:rsidP="0038561C">
      <w:pPr>
        <w:spacing w:line="360" w:lineRule="auto"/>
        <w:ind w:firstLine="709"/>
        <w:jc w:val="both"/>
        <w:rPr>
          <w:sz w:val="28"/>
          <w:szCs w:val="28"/>
        </w:rPr>
      </w:pPr>
      <w:r w:rsidRPr="00161809">
        <w:rPr>
          <w:sz w:val="28"/>
          <w:szCs w:val="28"/>
        </w:rPr>
        <w:t>Коэффициент оборачиваемости мобильных средств (Д3) показывает ск</w:t>
      </w:r>
      <w:r w:rsidRPr="00161809">
        <w:rPr>
          <w:sz w:val="28"/>
          <w:szCs w:val="28"/>
        </w:rPr>
        <w:t>о</w:t>
      </w:r>
      <w:r w:rsidRPr="00161809">
        <w:rPr>
          <w:sz w:val="28"/>
          <w:szCs w:val="28"/>
        </w:rPr>
        <w:t xml:space="preserve">рость оборота всех оборотных средств организации (как материальных, так и денежных). Продолжительность оборота мобильных средств возросла </w:t>
      </w:r>
      <w:r w:rsidRPr="00161809">
        <w:rPr>
          <w:sz w:val="28"/>
          <w:szCs w:val="28"/>
        </w:rPr>
        <w:lastRenderedPageBreak/>
        <w:t>на 279 дн. За счет замедления оборачиваемости оборотного капитала в конце анализ</w:t>
      </w:r>
      <w:r w:rsidRPr="00161809">
        <w:rPr>
          <w:sz w:val="28"/>
          <w:szCs w:val="28"/>
        </w:rPr>
        <w:t>и</w:t>
      </w:r>
      <w:r w:rsidRPr="00161809">
        <w:rPr>
          <w:sz w:val="28"/>
          <w:szCs w:val="28"/>
        </w:rPr>
        <w:t>руемого периода организация недополучило прибыли на сумму -159478.6 тыс. руб. Величина дополнительно привлекаемых в оборот оборотных средств в р</w:t>
      </w:r>
      <w:r w:rsidRPr="00161809">
        <w:rPr>
          <w:sz w:val="28"/>
          <w:szCs w:val="28"/>
        </w:rPr>
        <w:t>е</w:t>
      </w:r>
      <w:r w:rsidRPr="00161809">
        <w:rPr>
          <w:sz w:val="28"/>
          <w:szCs w:val="28"/>
        </w:rPr>
        <w:t>зультате замедления оборачиваемости составила 2177819 тыс. руб.</w:t>
      </w:r>
    </w:p>
    <w:p w:rsidR="0038561C" w:rsidRPr="00161809" w:rsidRDefault="0038561C" w:rsidP="0038561C">
      <w:pPr>
        <w:spacing w:line="360" w:lineRule="auto"/>
        <w:ind w:firstLine="709"/>
        <w:jc w:val="both"/>
        <w:rPr>
          <w:sz w:val="28"/>
          <w:szCs w:val="28"/>
        </w:rPr>
      </w:pPr>
      <w:r w:rsidRPr="00161809">
        <w:rPr>
          <w:sz w:val="28"/>
          <w:szCs w:val="28"/>
        </w:rPr>
        <w:t>Коэффициент отдачи нематериальных активов (Д6) показывает эффе</w:t>
      </w:r>
      <w:r w:rsidRPr="00161809">
        <w:rPr>
          <w:sz w:val="28"/>
          <w:szCs w:val="28"/>
        </w:rPr>
        <w:t>к</w:t>
      </w:r>
      <w:r w:rsidRPr="00161809">
        <w:rPr>
          <w:sz w:val="28"/>
          <w:szCs w:val="28"/>
        </w:rPr>
        <w:t>тивность использования нематериальных активов и рассчитывается как отн</w:t>
      </w:r>
      <w:r w:rsidRPr="00161809">
        <w:rPr>
          <w:sz w:val="28"/>
          <w:szCs w:val="28"/>
        </w:rPr>
        <w:t>о</w:t>
      </w:r>
      <w:r w:rsidRPr="00161809">
        <w:rPr>
          <w:sz w:val="28"/>
          <w:szCs w:val="28"/>
        </w:rPr>
        <w:t>шение выручки от реализации к сумме нематериальных активов. Коэффициент оборачиваемости нематериальных активов концу анализируемого периода сн</w:t>
      </w:r>
      <w:r w:rsidRPr="00161809">
        <w:rPr>
          <w:sz w:val="28"/>
          <w:szCs w:val="28"/>
        </w:rPr>
        <w:t>и</w:t>
      </w:r>
      <w:r w:rsidRPr="00161809">
        <w:rPr>
          <w:sz w:val="28"/>
          <w:szCs w:val="28"/>
        </w:rPr>
        <w:t>зился на -1327.041 и составил 1755.209 оборотов, т.е. уменьшился дополн</w:t>
      </w:r>
      <w:r w:rsidRPr="00161809">
        <w:rPr>
          <w:sz w:val="28"/>
          <w:szCs w:val="28"/>
        </w:rPr>
        <w:t>и</w:t>
      </w:r>
      <w:r w:rsidRPr="00161809">
        <w:rPr>
          <w:sz w:val="28"/>
          <w:szCs w:val="28"/>
        </w:rPr>
        <w:t>тельный доход на рубль капитала, вложенного в нематериальные активы. На</w:t>
      </w:r>
      <w:r w:rsidRPr="00161809">
        <w:rPr>
          <w:sz w:val="28"/>
          <w:szCs w:val="28"/>
        </w:rPr>
        <w:t>и</w:t>
      </w:r>
      <w:r w:rsidRPr="00161809">
        <w:rPr>
          <w:sz w:val="28"/>
          <w:szCs w:val="28"/>
        </w:rPr>
        <w:t>большая эффективность отдачи нематериальных активов 3926.567 наблюдалась за 2022 г., а минимальный 1755.209 - за 2023 г.</w:t>
      </w:r>
    </w:p>
    <w:p w:rsidR="0038561C" w:rsidRPr="00161809" w:rsidRDefault="0038561C" w:rsidP="0038561C">
      <w:pPr>
        <w:spacing w:line="360" w:lineRule="auto"/>
        <w:ind w:firstLine="709"/>
        <w:jc w:val="both"/>
        <w:rPr>
          <w:sz w:val="28"/>
          <w:szCs w:val="28"/>
        </w:rPr>
      </w:pPr>
      <w:r w:rsidRPr="00161809">
        <w:rPr>
          <w:sz w:val="28"/>
          <w:szCs w:val="28"/>
        </w:rPr>
        <w:t>Фондоотдача (Д7) показывает, сколько выручки приходится на единицу стоимости основных средств, и в зависимости от этого определяется степень их использования или эффективность. Т.е чем значение фондоотдачи выше, тем эффективнее используются на предприятии его основные средства. Фондоотд</w:t>
      </w:r>
      <w:r w:rsidRPr="00161809">
        <w:rPr>
          <w:sz w:val="28"/>
          <w:szCs w:val="28"/>
        </w:rPr>
        <w:t>а</w:t>
      </w:r>
      <w:r w:rsidRPr="00161809">
        <w:rPr>
          <w:sz w:val="28"/>
          <w:szCs w:val="28"/>
        </w:rPr>
        <w:t>ча за исследуемый период сократилась на 0.693 тыс. руб. и составила 0.577 тыс. руб. Значительное снижение фондоотдачи произошло с 01.01.2023 года по 01.01.2024 года, когда эффективность основных средств сократилась на 0.419 тыс. руб. и составила 0.577 тыс. руб. Наименьшего значения 0.577 тыс. руб. фондоотдача достигла за 2023 г.</w:t>
      </w:r>
    </w:p>
    <w:p w:rsidR="0038561C" w:rsidRDefault="0038561C" w:rsidP="0038561C">
      <w:pPr>
        <w:spacing w:line="360" w:lineRule="auto"/>
        <w:ind w:firstLine="709"/>
        <w:jc w:val="both"/>
        <w:rPr>
          <w:sz w:val="28"/>
          <w:szCs w:val="28"/>
        </w:rPr>
      </w:pPr>
      <w:r w:rsidRPr="00161809">
        <w:rPr>
          <w:sz w:val="28"/>
          <w:szCs w:val="28"/>
        </w:rPr>
        <w:t>Коэффициент отдачи собственного капитала (Д8) равный отношению объема реализации к среднегодовой стоимости собственного капитала показ</w:t>
      </w:r>
      <w:r w:rsidRPr="00161809">
        <w:rPr>
          <w:sz w:val="28"/>
          <w:szCs w:val="28"/>
        </w:rPr>
        <w:t>ы</w:t>
      </w:r>
      <w:r w:rsidRPr="00161809">
        <w:rPr>
          <w:sz w:val="28"/>
          <w:szCs w:val="28"/>
        </w:rPr>
        <w:t>вает скорость оборота собственного капитала, характеризует деловую акти</w:t>
      </w:r>
      <w:r w:rsidRPr="00161809">
        <w:rPr>
          <w:sz w:val="28"/>
          <w:szCs w:val="28"/>
        </w:rPr>
        <w:t>в</w:t>
      </w:r>
      <w:r w:rsidRPr="00161809">
        <w:rPr>
          <w:sz w:val="28"/>
          <w:szCs w:val="28"/>
        </w:rPr>
        <w:t>ность организации. В АО "Производственно-аграрное объединение "Массан</w:t>
      </w:r>
      <w:r w:rsidRPr="00161809">
        <w:rPr>
          <w:sz w:val="28"/>
          <w:szCs w:val="28"/>
        </w:rPr>
        <w:t>д</w:t>
      </w:r>
      <w:r w:rsidRPr="00161809">
        <w:rPr>
          <w:sz w:val="28"/>
          <w:szCs w:val="28"/>
        </w:rPr>
        <w:t>ра" к концу анализируемого периода этот показатель меньше, чем в начале, при этом его значение очень низкое - на каждый рубль инвестированных собстве</w:t>
      </w:r>
      <w:r w:rsidRPr="00161809">
        <w:rPr>
          <w:sz w:val="28"/>
          <w:szCs w:val="28"/>
        </w:rPr>
        <w:t>н</w:t>
      </w:r>
      <w:r w:rsidRPr="00161809">
        <w:rPr>
          <w:sz w:val="28"/>
          <w:szCs w:val="28"/>
        </w:rPr>
        <w:t xml:space="preserve">ных средств приходится 0.515 руб. выручки от </w:t>
      </w:r>
      <w:r w:rsidRPr="00161809">
        <w:rPr>
          <w:sz w:val="28"/>
          <w:szCs w:val="28"/>
        </w:rPr>
        <w:lastRenderedPageBreak/>
        <w:t>продаж. Максимального знач</w:t>
      </w:r>
      <w:r w:rsidRPr="00161809">
        <w:rPr>
          <w:sz w:val="28"/>
          <w:szCs w:val="28"/>
        </w:rPr>
        <w:t>е</w:t>
      </w:r>
      <w:r w:rsidRPr="00161809">
        <w:rPr>
          <w:sz w:val="28"/>
          <w:szCs w:val="28"/>
        </w:rPr>
        <w:t>ния 0.74 этот показатель наблюдался за 2022 г., а минимального 0.515 - за 2023 г.</w:t>
      </w:r>
      <w:r>
        <w:rPr>
          <w:sz w:val="28"/>
          <w:szCs w:val="28"/>
        </w:rPr>
        <w:t xml:space="preserve">  </w:t>
      </w:r>
    </w:p>
    <w:p w:rsidR="004A7959" w:rsidRPr="00D3442C" w:rsidRDefault="004A7959" w:rsidP="0067124A">
      <w:pPr>
        <w:spacing w:line="360" w:lineRule="auto"/>
        <w:ind w:firstLine="709"/>
        <w:jc w:val="center"/>
        <w:rPr>
          <w:sz w:val="28"/>
          <w:szCs w:val="28"/>
        </w:rPr>
      </w:pPr>
      <w:r w:rsidRPr="00D3442C">
        <w:rPr>
          <w:sz w:val="28"/>
          <w:szCs w:val="28"/>
        </w:rPr>
        <w:t>Таблица 2.11- Трехкомпонентный показатель типа финансовой ситуации предприятия</w:t>
      </w:r>
      <w:r w:rsidR="00FC5143" w:rsidRPr="00D3442C">
        <w:rPr>
          <w:sz w:val="28"/>
          <w:szCs w:val="28"/>
        </w:rPr>
        <w:t xml:space="preserve"> АО «ПАО «МАССАНДРА» с 2021-2023гг.</w:t>
      </w:r>
    </w:p>
    <w:tbl>
      <w:tblPr>
        <w:tblW w:w="49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"/>
        <w:gridCol w:w="2153"/>
        <w:gridCol w:w="2143"/>
        <w:gridCol w:w="466"/>
        <w:gridCol w:w="1209"/>
        <w:gridCol w:w="831"/>
        <w:gridCol w:w="378"/>
        <w:gridCol w:w="1209"/>
        <w:gridCol w:w="1031"/>
        <w:gridCol w:w="55"/>
      </w:tblGrid>
      <w:tr w:rsidR="004A7959" w:rsidRPr="0067124A" w:rsidTr="00D3442C">
        <w:trPr>
          <w:gridAfter w:val="1"/>
          <w:wAfter w:w="55" w:type="dxa"/>
          <w:tblHeader/>
          <w:jc w:val="center"/>
        </w:trPr>
        <w:tc>
          <w:tcPr>
            <w:tcW w:w="4822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>Наименование показателя</w:t>
            </w:r>
          </w:p>
        </w:tc>
        <w:tc>
          <w:tcPr>
            <w:tcW w:w="12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>01.01.2022</w:t>
            </w:r>
          </w:p>
        </w:tc>
        <w:tc>
          <w:tcPr>
            <w:tcW w:w="120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>01.01.2023</w:t>
            </w:r>
          </w:p>
        </w:tc>
        <w:tc>
          <w:tcPr>
            <w:tcW w:w="12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>01.01.2024</w:t>
            </w:r>
          </w:p>
        </w:tc>
        <w:tc>
          <w:tcPr>
            <w:tcW w:w="10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 xml:space="preserve">Изменение </w:t>
            </w:r>
            <w:r w:rsidRPr="0067124A">
              <w:br/>
              <w:t>01.01.2024</w:t>
            </w:r>
            <w:r w:rsidRPr="0067124A">
              <w:br/>
              <w:t xml:space="preserve">от </w:t>
            </w:r>
            <w:r w:rsidRPr="0067124A">
              <w:br/>
              <w:t>01.01.2022</w:t>
            </w:r>
          </w:p>
        </w:tc>
      </w:tr>
      <w:tr w:rsidR="004A7959" w:rsidRPr="0067124A" w:rsidTr="00D3442C">
        <w:trPr>
          <w:gridAfter w:val="1"/>
          <w:wAfter w:w="55" w:type="dxa"/>
          <w:jc w:val="center"/>
        </w:trPr>
        <w:tc>
          <w:tcPr>
            <w:tcW w:w="4822" w:type="dxa"/>
            <w:gridSpan w:val="4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1. Источники формирования собственных оборотных средств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4462488</w:t>
            </w:r>
          </w:p>
        </w:tc>
        <w:tc>
          <w:tcPr>
            <w:tcW w:w="120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5368540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5548983</w:t>
            </w:r>
          </w:p>
        </w:tc>
        <w:tc>
          <w:tcPr>
            <w:tcW w:w="1031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1086495</w:t>
            </w:r>
          </w:p>
        </w:tc>
      </w:tr>
      <w:tr w:rsidR="004A7959" w:rsidRPr="0067124A" w:rsidTr="00D3442C">
        <w:trPr>
          <w:gridAfter w:val="1"/>
          <w:wAfter w:w="55" w:type="dxa"/>
          <w:jc w:val="center"/>
        </w:trPr>
        <w:tc>
          <w:tcPr>
            <w:tcW w:w="4822" w:type="dxa"/>
            <w:gridSpan w:val="4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2. Внеоборотные активы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4136728</w:t>
            </w:r>
          </w:p>
        </w:tc>
        <w:tc>
          <w:tcPr>
            <w:tcW w:w="120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4854620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6561064</w:t>
            </w:r>
          </w:p>
        </w:tc>
        <w:tc>
          <w:tcPr>
            <w:tcW w:w="1031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2424336</w:t>
            </w:r>
          </w:p>
        </w:tc>
      </w:tr>
      <w:tr w:rsidR="004A7959" w:rsidRPr="0067124A" w:rsidTr="00D3442C">
        <w:trPr>
          <w:gridAfter w:val="1"/>
          <w:wAfter w:w="55" w:type="dxa"/>
          <w:jc w:val="center"/>
        </w:trPr>
        <w:tc>
          <w:tcPr>
            <w:tcW w:w="4822" w:type="dxa"/>
            <w:gridSpan w:val="4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3. Наличие собственных оборотных средств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325760</w:t>
            </w:r>
          </w:p>
        </w:tc>
        <w:tc>
          <w:tcPr>
            <w:tcW w:w="120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513920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-1012081</w:t>
            </w:r>
          </w:p>
        </w:tc>
        <w:tc>
          <w:tcPr>
            <w:tcW w:w="1031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-1337841</w:t>
            </w:r>
          </w:p>
        </w:tc>
      </w:tr>
      <w:tr w:rsidR="004A7959" w:rsidRPr="0067124A" w:rsidTr="00D3442C">
        <w:trPr>
          <w:gridAfter w:val="1"/>
          <w:wAfter w:w="55" w:type="dxa"/>
          <w:jc w:val="center"/>
        </w:trPr>
        <w:tc>
          <w:tcPr>
            <w:tcW w:w="4822" w:type="dxa"/>
            <w:gridSpan w:val="4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4. Долгосрочные пассивы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2790497</w:t>
            </w:r>
          </w:p>
        </w:tc>
        <w:tc>
          <w:tcPr>
            <w:tcW w:w="120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3627516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5595477</w:t>
            </w:r>
          </w:p>
        </w:tc>
        <w:tc>
          <w:tcPr>
            <w:tcW w:w="1031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2804980</w:t>
            </w:r>
          </w:p>
        </w:tc>
      </w:tr>
      <w:tr w:rsidR="004A7959" w:rsidRPr="0067124A" w:rsidTr="00D3442C">
        <w:trPr>
          <w:gridAfter w:val="1"/>
          <w:wAfter w:w="55" w:type="dxa"/>
          <w:jc w:val="center"/>
        </w:trPr>
        <w:tc>
          <w:tcPr>
            <w:tcW w:w="4822" w:type="dxa"/>
            <w:gridSpan w:val="4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5. Наличие собственных и долгосрочных заемных источников формирования средств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3116257</w:t>
            </w:r>
          </w:p>
        </w:tc>
        <w:tc>
          <w:tcPr>
            <w:tcW w:w="120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4141436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4583396</w:t>
            </w:r>
          </w:p>
        </w:tc>
        <w:tc>
          <w:tcPr>
            <w:tcW w:w="1031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1467139</w:t>
            </w:r>
          </w:p>
        </w:tc>
      </w:tr>
      <w:tr w:rsidR="004A7959" w:rsidRPr="0067124A" w:rsidTr="00D3442C">
        <w:trPr>
          <w:gridAfter w:val="1"/>
          <w:wAfter w:w="55" w:type="dxa"/>
          <w:jc w:val="center"/>
        </w:trPr>
        <w:tc>
          <w:tcPr>
            <w:tcW w:w="4822" w:type="dxa"/>
            <w:gridSpan w:val="4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6. Краткосрочные заемные средства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441691</w:t>
            </w:r>
          </w:p>
        </w:tc>
        <w:tc>
          <w:tcPr>
            <w:tcW w:w="120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173103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761318</w:t>
            </w:r>
          </w:p>
        </w:tc>
        <w:tc>
          <w:tcPr>
            <w:tcW w:w="1031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319627</w:t>
            </w:r>
          </w:p>
        </w:tc>
      </w:tr>
      <w:tr w:rsidR="004A7959" w:rsidRPr="0067124A" w:rsidTr="00D3442C">
        <w:trPr>
          <w:gridAfter w:val="1"/>
          <w:wAfter w:w="55" w:type="dxa"/>
          <w:jc w:val="center"/>
        </w:trPr>
        <w:tc>
          <w:tcPr>
            <w:tcW w:w="4822" w:type="dxa"/>
            <w:gridSpan w:val="4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7. Общая величина основных источников формирования запасов и затрат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3557948</w:t>
            </w:r>
          </w:p>
        </w:tc>
        <w:tc>
          <w:tcPr>
            <w:tcW w:w="120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4314539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5344714</w:t>
            </w:r>
          </w:p>
        </w:tc>
        <w:tc>
          <w:tcPr>
            <w:tcW w:w="1031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1786766</w:t>
            </w:r>
          </w:p>
        </w:tc>
      </w:tr>
      <w:tr w:rsidR="004A7959" w:rsidRPr="0067124A" w:rsidTr="00D3442C">
        <w:trPr>
          <w:gridAfter w:val="1"/>
          <w:wAfter w:w="55" w:type="dxa"/>
          <w:jc w:val="center"/>
        </w:trPr>
        <w:tc>
          <w:tcPr>
            <w:tcW w:w="4822" w:type="dxa"/>
            <w:gridSpan w:val="4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8. Общая величина запасов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2699568</w:t>
            </w:r>
          </w:p>
        </w:tc>
        <w:tc>
          <w:tcPr>
            <w:tcW w:w="120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3156454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3708952</w:t>
            </w:r>
          </w:p>
        </w:tc>
        <w:tc>
          <w:tcPr>
            <w:tcW w:w="1031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1009384</w:t>
            </w:r>
          </w:p>
        </w:tc>
      </w:tr>
      <w:tr w:rsidR="004A7959" w:rsidRPr="0067124A" w:rsidTr="00D3442C">
        <w:trPr>
          <w:gridAfter w:val="1"/>
          <w:wAfter w:w="55" w:type="dxa"/>
          <w:jc w:val="center"/>
        </w:trPr>
        <w:tc>
          <w:tcPr>
            <w:tcW w:w="4822" w:type="dxa"/>
            <w:gridSpan w:val="4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9. Излишек (+), недостаток (-) собственных оборотных средств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-2373808</w:t>
            </w:r>
          </w:p>
        </w:tc>
        <w:tc>
          <w:tcPr>
            <w:tcW w:w="120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-2642534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-4721033</w:t>
            </w:r>
          </w:p>
        </w:tc>
        <w:tc>
          <w:tcPr>
            <w:tcW w:w="1031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-2347225</w:t>
            </w:r>
          </w:p>
        </w:tc>
      </w:tr>
      <w:tr w:rsidR="004A7959" w:rsidRPr="0067124A" w:rsidTr="00D3442C">
        <w:trPr>
          <w:gridAfter w:val="1"/>
          <w:wAfter w:w="55" w:type="dxa"/>
          <w:jc w:val="center"/>
        </w:trPr>
        <w:tc>
          <w:tcPr>
            <w:tcW w:w="4822" w:type="dxa"/>
            <w:gridSpan w:val="4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10. Излишек (+), недостаток (-) собственных и долгосрочных заемных источников формирования запасов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416689</w:t>
            </w:r>
          </w:p>
        </w:tc>
        <w:tc>
          <w:tcPr>
            <w:tcW w:w="120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984982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874444</w:t>
            </w:r>
          </w:p>
        </w:tc>
        <w:tc>
          <w:tcPr>
            <w:tcW w:w="1031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457755</w:t>
            </w:r>
          </w:p>
        </w:tc>
      </w:tr>
      <w:tr w:rsidR="004A7959" w:rsidRPr="0067124A" w:rsidTr="00D3442C">
        <w:trPr>
          <w:gridAfter w:val="1"/>
          <w:wAfter w:w="55" w:type="dxa"/>
          <w:jc w:val="center"/>
        </w:trPr>
        <w:tc>
          <w:tcPr>
            <w:tcW w:w="4822" w:type="dxa"/>
            <w:gridSpan w:val="4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11. Излишек (+), недостаток (-) общей величины основных источников формирования запасов и затрат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858380</w:t>
            </w:r>
          </w:p>
        </w:tc>
        <w:tc>
          <w:tcPr>
            <w:tcW w:w="120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1158085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1635762</w:t>
            </w:r>
          </w:p>
        </w:tc>
        <w:tc>
          <w:tcPr>
            <w:tcW w:w="1031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777382</w:t>
            </w:r>
          </w:p>
        </w:tc>
      </w:tr>
      <w:tr w:rsidR="004A7959" w:rsidRPr="0067124A" w:rsidTr="00D3442C">
        <w:trPr>
          <w:gridAfter w:val="1"/>
          <w:wAfter w:w="55" w:type="dxa"/>
          <w:jc w:val="center"/>
        </w:trPr>
        <w:tc>
          <w:tcPr>
            <w:tcW w:w="4822" w:type="dxa"/>
            <w:gridSpan w:val="4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pStyle w:val="a4"/>
              <w:spacing w:before="0" w:beforeAutospacing="0" w:after="0" w:afterAutospacing="0"/>
              <w:ind w:left="48" w:right="36" w:firstLine="36"/>
              <w:rPr>
                <w:rFonts w:eastAsiaTheme="minorEastAsia"/>
              </w:rPr>
            </w:pPr>
            <w:r w:rsidRPr="0067124A">
              <w:t>Трехкомпонентный показатель типа финансовой ситуации, S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0, 1, 1</w:t>
            </w:r>
          </w:p>
        </w:tc>
        <w:tc>
          <w:tcPr>
            <w:tcW w:w="120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0, 1, 1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  <w:r w:rsidRPr="0067124A">
              <w:t>0, 1, 1</w:t>
            </w:r>
          </w:p>
        </w:tc>
        <w:tc>
          <w:tcPr>
            <w:tcW w:w="1031" w:type="dxa"/>
            <w:shd w:val="clear" w:color="auto" w:fill="auto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  <w:hideMark/>
          </w:tcPr>
          <w:p w:rsidR="004A7959" w:rsidRPr="0067124A" w:rsidRDefault="004A7959" w:rsidP="00505B10">
            <w:pPr>
              <w:jc w:val="right"/>
            </w:pPr>
          </w:p>
        </w:tc>
      </w:tr>
      <w:tr w:rsidR="004A7959" w:rsidRPr="0067124A" w:rsidTr="00D3442C">
        <w:tblPrEx>
          <w:tblBorders>
            <w:top w:val="single" w:sz="4" w:space="0" w:color="777777"/>
            <w:left w:val="single" w:sz="4" w:space="0" w:color="777777"/>
            <w:bottom w:val="single" w:sz="4" w:space="0" w:color="777777"/>
            <w:right w:val="single" w:sz="4" w:space="0" w:color="777777"/>
            <w:insideH w:val="none" w:sz="0" w:space="0" w:color="auto"/>
            <w:insideV w:val="none" w:sz="0" w:space="0" w:color="auto"/>
          </w:tblBorders>
        </w:tblPrEx>
        <w:trPr>
          <w:gridBefore w:val="1"/>
          <w:wBefore w:w="60" w:type="dxa"/>
          <w:jc w:val="center"/>
        </w:trPr>
        <w:tc>
          <w:tcPr>
            <w:tcW w:w="9475" w:type="dxa"/>
            <w:gridSpan w:val="9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>Условия</w:t>
            </w:r>
          </w:p>
        </w:tc>
      </w:tr>
      <w:tr w:rsidR="004A7959" w:rsidRPr="0067124A" w:rsidTr="00D3442C">
        <w:tblPrEx>
          <w:tblBorders>
            <w:top w:val="single" w:sz="4" w:space="0" w:color="777777"/>
            <w:left w:val="single" w:sz="4" w:space="0" w:color="777777"/>
            <w:bottom w:val="single" w:sz="4" w:space="0" w:color="777777"/>
            <w:right w:val="single" w:sz="4" w:space="0" w:color="777777"/>
            <w:insideH w:val="none" w:sz="0" w:space="0" w:color="auto"/>
            <w:insideV w:val="none" w:sz="0" w:space="0" w:color="auto"/>
          </w:tblBorders>
        </w:tblPrEx>
        <w:trPr>
          <w:gridBefore w:val="1"/>
          <w:wBefore w:w="60" w:type="dxa"/>
          <w:jc w:val="center"/>
        </w:trPr>
        <w:tc>
          <w:tcPr>
            <w:tcW w:w="21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>S = 1, 1, 1</w:t>
            </w:r>
          </w:p>
        </w:tc>
        <w:tc>
          <w:tcPr>
            <w:tcW w:w="21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>S = 0, 1, 1</w:t>
            </w:r>
          </w:p>
        </w:tc>
        <w:tc>
          <w:tcPr>
            <w:tcW w:w="250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>S = 0, 0, 1</w:t>
            </w:r>
          </w:p>
        </w:tc>
        <w:tc>
          <w:tcPr>
            <w:tcW w:w="2673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>S = 0, 0, 0</w:t>
            </w:r>
          </w:p>
        </w:tc>
      </w:tr>
      <w:tr w:rsidR="004A7959" w:rsidRPr="0067124A" w:rsidTr="00D3442C">
        <w:tblPrEx>
          <w:tblBorders>
            <w:top w:val="single" w:sz="4" w:space="0" w:color="777777"/>
            <w:left w:val="single" w:sz="4" w:space="0" w:color="777777"/>
            <w:bottom w:val="single" w:sz="4" w:space="0" w:color="777777"/>
            <w:right w:val="single" w:sz="4" w:space="0" w:color="777777"/>
            <w:insideH w:val="none" w:sz="0" w:space="0" w:color="auto"/>
            <w:insideV w:val="none" w:sz="0" w:space="0" w:color="auto"/>
          </w:tblBorders>
        </w:tblPrEx>
        <w:trPr>
          <w:gridBefore w:val="1"/>
          <w:wBefore w:w="60" w:type="dxa"/>
          <w:jc w:val="center"/>
        </w:trPr>
        <w:tc>
          <w:tcPr>
            <w:tcW w:w="21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>Абсолютная независимость</w:t>
            </w:r>
          </w:p>
        </w:tc>
        <w:tc>
          <w:tcPr>
            <w:tcW w:w="21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>Нормальная независимость</w:t>
            </w:r>
          </w:p>
        </w:tc>
        <w:tc>
          <w:tcPr>
            <w:tcW w:w="250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>Неустойчивое финансовое состояние</w:t>
            </w:r>
          </w:p>
        </w:tc>
        <w:tc>
          <w:tcPr>
            <w:tcW w:w="2673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>Кризисное финансовое состояние</w:t>
            </w:r>
          </w:p>
        </w:tc>
      </w:tr>
      <w:tr w:rsidR="004A7959" w:rsidRPr="0067124A" w:rsidTr="00D3442C">
        <w:tblPrEx>
          <w:tblBorders>
            <w:top w:val="single" w:sz="4" w:space="0" w:color="777777"/>
            <w:left w:val="single" w:sz="4" w:space="0" w:color="777777"/>
            <w:bottom w:val="single" w:sz="4" w:space="0" w:color="777777"/>
            <w:right w:val="single" w:sz="4" w:space="0" w:color="777777"/>
            <w:insideH w:val="none" w:sz="0" w:space="0" w:color="auto"/>
            <w:insideV w:val="none" w:sz="0" w:space="0" w:color="auto"/>
          </w:tblBorders>
        </w:tblPrEx>
        <w:trPr>
          <w:gridBefore w:val="1"/>
          <w:wBefore w:w="60" w:type="dxa"/>
          <w:jc w:val="center"/>
        </w:trPr>
        <w:tc>
          <w:tcPr>
            <w:tcW w:w="9475" w:type="dxa"/>
            <w:gridSpan w:val="9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>Оценка риска финансовой неустойчивости</w:t>
            </w:r>
          </w:p>
        </w:tc>
      </w:tr>
      <w:tr w:rsidR="004A7959" w:rsidRPr="0067124A" w:rsidTr="00D3442C">
        <w:tblPrEx>
          <w:tblBorders>
            <w:top w:val="single" w:sz="4" w:space="0" w:color="777777"/>
            <w:left w:val="single" w:sz="4" w:space="0" w:color="777777"/>
            <w:bottom w:val="single" w:sz="4" w:space="0" w:color="777777"/>
            <w:right w:val="single" w:sz="4" w:space="0" w:color="777777"/>
            <w:insideH w:val="none" w:sz="0" w:space="0" w:color="auto"/>
            <w:insideV w:val="none" w:sz="0" w:space="0" w:color="auto"/>
          </w:tblBorders>
        </w:tblPrEx>
        <w:trPr>
          <w:gridBefore w:val="1"/>
          <w:wBefore w:w="60" w:type="dxa"/>
          <w:jc w:val="center"/>
        </w:trPr>
        <w:tc>
          <w:tcPr>
            <w:tcW w:w="21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>Безрисковая зона</w:t>
            </w:r>
          </w:p>
        </w:tc>
        <w:tc>
          <w:tcPr>
            <w:tcW w:w="21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>Зона допустимого риска</w:t>
            </w:r>
          </w:p>
        </w:tc>
        <w:tc>
          <w:tcPr>
            <w:tcW w:w="250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>Зона критического риска</w:t>
            </w:r>
          </w:p>
        </w:tc>
        <w:tc>
          <w:tcPr>
            <w:tcW w:w="2673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7959" w:rsidRPr="0067124A" w:rsidRDefault="004A7959" w:rsidP="00505B10">
            <w:pPr>
              <w:jc w:val="center"/>
            </w:pPr>
            <w:r w:rsidRPr="0067124A">
              <w:t>Зона катастрофического риска</w:t>
            </w:r>
          </w:p>
        </w:tc>
      </w:tr>
    </w:tbl>
    <w:p w:rsidR="004A7959" w:rsidRPr="0067124A" w:rsidRDefault="004A7959" w:rsidP="00D3442C"/>
    <w:sectPr w:rsidR="004A7959" w:rsidRPr="0067124A" w:rsidSect="00772E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5A3" w:rsidRPr="00810965" w:rsidRDefault="00E945A3" w:rsidP="00730554">
      <w:r>
        <w:separator/>
      </w:r>
    </w:p>
  </w:endnote>
  <w:endnote w:type="continuationSeparator" w:id="1">
    <w:p w:rsidR="00E945A3" w:rsidRPr="00810965" w:rsidRDefault="00E945A3" w:rsidP="00730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5A3" w:rsidRPr="00810965" w:rsidRDefault="00E945A3" w:rsidP="00730554">
      <w:r>
        <w:separator/>
      </w:r>
    </w:p>
  </w:footnote>
  <w:footnote w:type="continuationSeparator" w:id="1">
    <w:p w:rsidR="00E945A3" w:rsidRPr="00810965" w:rsidRDefault="00E945A3" w:rsidP="00730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554" w:rsidRDefault="00730554" w:rsidP="00730554">
    <w:pPr>
      <w:pStyle w:val="a5"/>
      <w:jc w:val="right"/>
    </w:pPr>
    <w:r>
      <w:t>ПРИЛОЖЕНИЕ Б</w:t>
    </w:r>
  </w:p>
  <w:p w:rsidR="00730554" w:rsidRDefault="0073055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218"/>
    <w:rsid w:val="001036F5"/>
    <w:rsid w:val="0038561C"/>
    <w:rsid w:val="00414D1C"/>
    <w:rsid w:val="00473BB6"/>
    <w:rsid w:val="004A7959"/>
    <w:rsid w:val="005F4EF8"/>
    <w:rsid w:val="0067124A"/>
    <w:rsid w:val="006E6B14"/>
    <w:rsid w:val="006F44E7"/>
    <w:rsid w:val="00730554"/>
    <w:rsid w:val="00772E5C"/>
    <w:rsid w:val="008F4218"/>
    <w:rsid w:val="009B2DE0"/>
    <w:rsid w:val="00B03A85"/>
    <w:rsid w:val="00D3442C"/>
    <w:rsid w:val="00DE089A"/>
    <w:rsid w:val="00E17A6F"/>
    <w:rsid w:val="00E945A3"/>
    <w:rsid w:val="00FC5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218"/>
    <w:pPr>
      <w:ind w:left="720"/>
      <w:contextualSpacing/>
    </w:pPr>
  </w:style>
  <w:style w:type="paragraph" w:styleId="a4">
    <w:name w:val="Normal (Web)"/>
    <w:basedOn w:val="a"/>
    <w:uiPriority w:val="99"/>
    <w:rsid w:val="008F4218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5">
    <w:name w:val="header"/>
    <w:basedOn w:val="a"/>
    <w:link w:val="a6"/>
    <w:uiPriority w:val="99"/>
    <w:unhideWhenUsed/>
    <w:rsid w:val="007305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05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305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05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305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5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2591</Words>
  <Characters>14772</Characters>
  <Application>Microsoft Office Word</Application>
  <DocSecurity>0</DocSecurity>
  <Lines>123</Lines>
  <Paragraphs>34</Paragraphs>
  <ScaleCrop>false</ScaleCrop>
  <Company/>
  <LinksUpToDate>false</LinksUpToDate>
  <CharactersWithSpaces>17329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2024-12-11T11:22:00Z</dcterms:created>
  <dcterms:modified xsi:type="dcterms:W3CDTF">2024-12-11T11:36:00Z</dcterms:modified>
</cp:coreProperties>
</file>